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D" w:rsidRDefault="001C428D" w:rsidP="00116013">
      <w:pPr>
        <w:pStyle w:val="berschrift1"/>
        <w:spacing w:line="360" w:lineRule="auto"/>
        <w:ind w:right="2410"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B45447">
        <w:rPr>
          <w:rFonts w:ascii="Sparkasse Rg" w:eastAsia="Sparkasse Rg" w:hAnsi="Sparkasse Rg" w:cs="Sparkasse Rg"/>
          <w:sz w:val="22"/>
          <w:szCs w:val="22"/>
        </w:rPr>
        <w:t>1</w:t>
      </w:r>
      <w:r w:rsidR="00C01498">
        <w:rPr>
          <w:rFonts w:ascii="Sparkasse Rg" w:eastAsia="Sparkasse Rg" w:hAnsi="Sparkasse Rg" w:cs="Sparkasse Rg"/>
          <w:sz w:val="22"/>
          <w:szCs w:val="22"/>
        </w:rPr>
        <w:t>7</w:t>
      </w:r>
      <w:r w:rsidR="00B45447">
        <w:rPr>
          <w:rFonts w:ascii="Sparkasse Rg" w:eastAsia="Sparkasse Rg" w:hAnsi="Sparkasse Rg" w:cs="Sparkasse Rg"/>
          <w:sz w:val="22"/>
          <w:szCs w:val="22"/>
        </w:rPr>
        <w:t>.02</w:t>
      </w:r>
      <w:r w:rsidR="00601230">
        <w:rPr>
          <w:rFonts w:ascii="Sparkasse Rg" w:eastAsia="Sparkasse Rg" w:hAnsi="Sparkasse Rg" w:cs="Sparkasse Rg"/>
          <w:sz w:val="22"/>
          <w:szCs w:val="22"/>
        </w:rPr>
        <w:t>.2020</w:t>
      </w:r>
    </w:p>
    <w:p w:rsidR="00F516F4" w:rsidRPr="00F516F4" w:rsidRDefault="00F516F4" w:rsidP="00116013">
      <w:pPr>
        <w:ind w:right="2410"/>
      </w:pPr>
    </w:p>
    <w:p w:rsidR="008D3A00" w:rsidRPr="00442E5D" w:rsidRDefault="006C7081" w:rsidP="00CC1D7E">
      <w:pPr>
        <w:spacing w:before="120" w:after="120" w:line="360" w:lineRule="auto"/>
        <w:ind w:right="142"/>
        <w:rPr>
          <w:b/>
        </w:rPr>
      </w:pPr>
      <w:r>
        <w:rPr>
          <w:b/>
          <w:bCs/>
        </w:rPr>
        <w:t>Die Stadtsparkasse München ist die Nummer</w:t>
      </w:r>
      <w:r w:rsidR="00CC1D7E">
        <w:rPr>
          <w:b/>
          <w:bCs/>
        </w:rPr>
        <w:t xml:space="preserve"> 1 bei der Privatkundenberatung</w:t>
      </w:r>
    </w:p>
    <w:p w:rsidR="006C7081" w:rsidRDefault="00BB2B08" w:rsidP="006C7081">
      <w:pPr>
        <w:spacing w:after="120" w:line="360" w:lineRule="auto"/>
        <w:ind w:right="2410"/>
        <w:rPr>
          <w:color w:val="000000" w:themeColor="text1"/>
        </w:rPr>
      </w:pPr>
      <w:r w:rsidRPr="00BB2B08">
        <w:rPr>
          <w:b/>
          <w:color w:val="000000" w:themeColor="text1"/>
        </w:rPr>
        <w:t>München (</w:t>
      </w:r>
      <w:proofErr w:type="spellStart"/>
      <w:r w:rsidRPr="00BB2B08">
        <w:rPr>
          <w:b/>
          <w:color w:val="000000" w:themeColor="text1"/>
        </w:rPr>
        <w:t>sskm</w:t>
      </w:r>
      <w:proofErr w:type="spellEnd"/>
      <w:r w:rsidRPr="00BB2B08">
        <w:rPr>
          <w:color w:val="000000" w:themeColor="text1"/>
        </w:rPr>
        <w:t xml:space="preserve">). </w:t>
      </w:r>
      <w:r w:rsidR="006C7081">
        <w:rPr>
          <w:color w:val="000000" w:themeColor="text1"/>
        </w:rPr>
        <w:t xml:space="preserve">Das nächste Testsiegel für hervorragende Leistungen ist da: </w:t>
      </w:r>
      <w:r w:rsidR="006C7081">
        <w:t>Die Stadtsparkasse München</w:t>
      </w:r>
      <w:r w:rsidR="006C7081" w:rsidRPr="00DD4055">
        <w:t xml:space="preserve"> belegte beim bundesweiten Qualitäts-Ba</w:t>
      </w:r>
      <w:r w:rsidR="006C7081">
        <w:t>nkentest Platz 1 in Deutschland</w:t>
      </w:r>
      <w:r w:rsidR="006C7081" w:rsidRPr="00DD4055">
        <w:t xml:space="preserve"> bei der </w:t>
      </w:r>
      <w:r w:rsidR="006C7081">
        <w:t xml:space="preserve">Beratung von </w:t>
      </w:r>
      <w:r w:rsidR="006C7081" w:rsidRPr="00DD4055">
        <w:t>Privatkunden</w:t>
      </w:r>
      <w:r w:rsidR="006C7081">
        <w:t>. Die Tageszeitung DIE WELT hat die Auszeichnung überreicht – dazu Ralf Fleischer, Vorstandsvorsitzender der Stadtsparkasse München:</w:t>
      </w:r>
      <w:r w:rsidR="006C7081">
        <w:rPr>
          <w:color w:val="000000" w:themeColor="text1"/>
        </w:rPr>
        <w:t xml:space="preserve"> </w:t>
      </w:r>
    </w:p>
    <w:p w:rsidR="006C7081" w:rsidRPr="006C7081" w:rsidRDefault="006C7081" w:rsidP="006C7081">
      <w:pPr>
        <w:spacing w:after="120" w:line="360" w:lineRule="auto"/>
        <w:ind w:right="2410"/>
        <w:rPr>
          <w:color w:val="000000" w:themeColor="text1"/>
        </w:rPr>
      </w:pPr>
      <w:r w:rsidRPr="00C01498">
        <w:t xml:space="preserve">„Ich freue mich sehr über diese besondere Auszeichnung für unser Haus, die mir und all </w:t>
      </w:r>
      <w:r w:rsidR="004906D7" w:rsidRPr="00C01498">
        <w:t>unseren</w:t>
      </w:r>
      <w:r w:rsidRPr="00C01498">
        <w:t xml:space="preserve"> Mitarbeitern</w:t>
      </w:r>
      <w:r w:rsidR="004906D7" w:rsidRPr="00C01498">
        <w:t>,</w:t>
      </w:r>
      <w:r w:rsidRPr="00C01498">
        <w:t xml:space="preserve"> Partnern zeigt, dass wir für unsere Kunden richtig handeln</w:t>
      </w:r>
      <w:r w:rsidR="00C01498" w:rsidRPr="00C01498">
        <w:t xml:space="preserve"> und somit wertvoll für sie sind</w:t>
      </w:r>
      <w:r w:rsidRPr="00C01498">
        <w:t>. Die Auszeichnung gebührt unseren Teams in den Filialen</w:t>
      </w:r>
      <w:r w:rsidR="004906D7" w:rsidRPr="00C01498">
        <w:t xml:space="preserve"> und am Telefon</w:t>
      </w:r>
      <w:r w:rsidRPr="00C01498">
        <w:t xml:space="preserve">, die </w:t>
      </w:r>
      <w:r w:rsidR="00A35C73" w:rsidRPr="00C01498">
        <w:t xml:space="preserve">sich </w:t>
      </w:r>
      <w:r w:rsidRPr="00C01498">
        <w:t xml:space="preserve">tagtäglich </w:t>
      </w:r>
      <w:r w:rsidR="00A35C73" w:rsidRPr="00C01498">
        <w:t>für die Kundenbelange einsetzen und</w:t>
      </w:r>
      <w:r w:rsidRPr="00C01498">
        <w:t xml:space="preserve"> persönlich mit Rat und Tat in allen Lebenslagen zur Seite zu stehen. Zudem ist ein solcher Qualitätspreis von renommierter und unabhängiger Stelle </w:t>
      </w:r>
      <w:r w:rsidR="00A35C73" w:rsidRPr="00C01498">
        <w:t>für uns</w:t>
      </w:r>
      <w:r w:rsidRPr="00C01498">
        <w:t xml:space="preserve"> </w:t>
      </w:r>
      <w:r w:rsidR="00A35C73" w:rsidRPr="00C01498">
        <w:t>ein Beleg</w:t>
      </w:r>
      <w:r w:rsidRPr="00C01498">
        <w:t xml:space="preserve">, </w:t>
      </w:r>
      <w:r w:rsidR="00A35C73" w:rsidRPr="00C01498">
        <w:t xml:space="preserve">dass wir mit der richtigen Strategie </w:t>
      </w:r>
      <w:r w:rsidRPr="00C01498">
        <w:t xml:space="preserve">kompetent und zukunftsorientiert aufgestellt </w:t>
      </w:r>
      <w:r w:rsidR="00A35C73" w:rsidRPr="00C01498">
        <w:t xml:space="preserve">sind. Unsere Kunden können daher zurecht auch in Zukunft auf uns </w:t>
      </w:r>
      <w:r w:rsidRPr="00C01498">
        <w:t>vertrauen.“</w:t>
      </w:r>
    </w:p>
    <w:p w:rsidR="006C7081" w:rsidRDefault="00A35C73" w:rsidP="006C7081">
      <w:pPr>
        <w:spacing w:line="360" w:lineRule="auto"/>
        <w:ind w:right="2410"/>
      </w:pPr>
      <w:r>
        <w:t xml:space="preserve">Vor wenigen Monaten wurde die Stadtsparkasse München bereits für das beste </w:t>
      </w:r>
      <w:proofErr w:type="spellStart"/>
      <w:r>
        <w:t>PrivateBanking</w:t>
      </w:r>
      <w:proofErr w:type="spellEnd"/>
      <w:r>
        <w:t xml:space="preserve"> in München für besonders vermögende Kunden von der Tageszeitung Die Welt ausgezeichnet – und das zum dritten Mal in Folge. Eine der Stadtsparkasse München vorliegende </w:t>
      </w:r>
      <w:r w:rsidR="004906D7">
        <w:t xml:space="preserve">aktuelle </w:t>
      </w:r>
      <w:r>
        <w:t xml:space="preserve">Studie belegt außerdem, dass sie nicht nur generell im Privatkundenbereich Marktführer ist, sondern auch im Segment </w:t>
      </w:r>
      <w:proofErr w:type="spellStart"/>
      <w:r>
        <w:t>PrivateBanking</w:t>
      </w:r>
      <w:proofErr w:type="spellEnd"/>
      <w:r>
        <w:t>.</w:t>
      </w:r>
    </w:p>
    <w:p w:rsidR="000D24F3" w:rsidRPr="00287740" w:rsidRDefault="000D24F3" w:rsidP="0011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0D24F3" w:rsidRPr="00287740" w:rsidRDefault="000D24F3" w:rsidP="0011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0D24F3" w:rsidRDefault="000D24F3" w:rsidP="0011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56D7C" w:rsidRPr="000D24F3" w:rsidSect="009D5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4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D9" w:rsidRDefault="000076D9">
      <w:r>
        <w:separator/>
      </w:r>
    </w:p>
  </w:endnote>
  <w:endnote w:type="continuationSeparator" w:id="0">
    <w:p w:rsidR="000076D9" w:rsidRDefault="000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8" w:rsidRDefault="00C01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926C0D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8A50399" wp14:editId="3D87CB8A">
          <wp:simplePos x="0" y="0"/>
          <wp:positionH relativeFrom="margin">
            <wp:posOffset>5358130</wp:posOffset>
          </wp:positionH>
          <wp:positionV relativeFrom="paragraph">
            <wp:posOffset>76200</wp:posOffset>
          </wp:positionV>
          <wp:extent cx="128270" cy="128270"/>
          <wp:effectExtent l="0" t="0" r="5080" b="5080"/>
          <wp:wrapSquare wrapText="bothSides" distT="0" distB="0" distL="114300" distR="114300"/>
          <wp:docPr id="114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984780" wp14:editId="75FBAF38">
          <wp:simplePos x="0" y="0"/>
          <wp:positionH relativeFrom="margin">
            <wp:posOffset>4932045</wp:posOffset>
          </wp:positionH>
          <wp:positionV relativeFrom="paragraph">
            <wp:posOffset>20320</wp:posOffset>
          </wp:positionV>
          <wp:extent cx="399415" cy="237490"/>
          <wp:effectExtent l="0" t="0" r="635" b="0"/>
          <wp:wrapSquare wrapText="bothSides" distT="0" distB="0" distL="114300" distR="114300"/>
          <wp:docPr id="115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537E009D" wp14:editId="23EA57E3">
          <wp:simplePos x="0" y="0"/>
          <wp:positionH relativeFrom="column">
            <wp:posOffset>5572125</wp:posOffset>
          </wp:positionH>
          <wp:positionV relativeFrom="paragraph">
            <wp:posOffset>81915</wp:posOffset>
          </wp:positionV>
          <wp:extent cx="132715" cy="136525"/>
          <wp:effectExtent l="0" t="0" r="635" b="0"/>
          <wp:wrapSquare wrapText="bothSides"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4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0B4289">
      <w:rPr>
        <w:color w:val="000000" w:themeColor="text1"/>
        <w:sz w:val="14"/>
        <w:szCs w:val="14"/>
      </w:rPr>
      <w:t>1</w:t>
    </w:r>
    <w:r w:rsidR="00C01498">
      <w:rPr>
        <w:color w:val="000000" w:themeColor="text1"/>
        <w:sz w:val="14"/>
        <w:szCs w:val="14"/>
      </w:rPr>
      <w:t>7</w:t>
    </w:r>
    <w:bookmarkStart w:id="0" w:name="_GoBack"/>
    <w:bookmarkEnd w:id="0"/>
    <w:r w:rsidR="000B4289">
      <w:rPr>
        <w:color w:val="000000" w:themeColor="text1"/>
        <w:sz w:val="14"/>
        <w:szCs w:val="14"/>
      </w:rPr>
      <w:t>.02</w:t>
    </w:r>
    <w:r w:rsidR="002D6BB4">
      <w:rPr>
        <w:color w:val="000000" w:themeColor="text1"/>
        <w:sz w:val="14"/>
        <w:szCs w:val="14"/>
      </w:rPr>
      <w:t>.2020</w:t>
    </w:r>
  </w:p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C01498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C01498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C004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D9" w:rsidRDefault="000076D9">
      <w:r>
        <w:separator/>
      </w:r>
    </w:p>
  </w:footnote>
  <w:footnote w:type="continuationSeparator" w:id="0">
    <w:p w:rsidR="000076D9" w:rsidRDefault="0000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8" w:rsidRDefault="00C01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F19A88" wp14:editId="14C206BC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13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8" w:rsidRDefault="00C014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2088C"/>
    <w:rsid w:val="00026B0D"/>
    <w:rsid w:val="00031EC9"/>
    <w:rsid w:val="000544F6"/>
    <w:rsid w:val="000607C6"/>
    <w:rsid w:val="000659B0"/>
    <w:rsid w:val="00067EE2"/>
    <w:rsid w:val="000740E7"/>
    <w:rsid w:val="000778E2"/>
    <w:rsid w:val="00082DD5"/>
    <w:rsid w:val="00085EFF"/>
    <w:rsid w:val="00090A86"/>
    <w:rsid w:val="00091B6A"/>
    <w:rsid w:val="00092070"/>
    <w:rsid w:val="000921AC"/>
    <w:rsid w:val="00097DA6"/>
    <w:rsid w:val="000B4289"/>
    <w:rsid w:val="000B5FCE"/>
    <w:rsid w:val="000C1DB2"/>
    <w:rsid w:val="000D24F3"/>
    <w:rsid w:val="000D49AE"/>
    <w:rsid w:val="000D5B03"/>
    <w:rsid w:val="000E2998"/>
    <w:rsid w:val="000F5333"/>
    <w:rsid w:val="00105C2B"/>
    <w:rsid w:val="00116013"/>
    <w:rsid w:val="00124FBB"/>
    <w:rsid w:val="001263B9"/>
    <w:rsid w:val="0013061E"/>
    <w:rsid w:val="001443E3"/>
    <w:rsid w:val="0015698D"/>
    <w:rsid w:val="00160309"/>
    <w:rsid w:val="00170C9E"/>
    <w:rsid w:val="001713D3"/>
    <w:rsid w:val="0018388E"/>
    <w:rsid w:val="0019695C"/>
    <w:rsid w:val="001A022E"/>
    <w:rsid w:val="001A4FAB"/>
    <w:rsid w:val="001A7DE4"/>
    <w:rsid w:val="001B1F62"/>
    <w:rsid w:val="001B3219"/>
    <w:rsid w:val="001B6084"/>
    <w:rsid w:val="001C03FA"/>
    <w:rsid w:val="001C428D"/>
    <w:rsid w:val="001D6E4F"/>
    <w:rsid w:val="001E2992"/>
    <w:rsid w:val="001E57BE"/>
    <w:rsid w:val="001F056C"/>
    <w:rsid w:val="001F47B4"/>
    <w:rsid w:val="001F7936"/>
    <w:rsid w:val="00200F28"/>
    <w:rsid w:val="00205332"/>
    <w:rsid w:val="00210C8B"/>
    <w:rsid w:val="00215D99"/>
    <w:rsid w:val="00223D75"/>
    <w:rsid w:val="0024209D"/>
    <w:rsid w:val="00260062"/>
    <w:rsid w:val="0026075A"/>
    <w:rsid w:val="00263515"/>
    <w:rsid w:val="00264914"/>
    <w:rsid w:val="002845CB"/>
    <w:rsid w:val="00285310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6BB4"/>
    <w:rsid w:val="002E244E"/>
    <w:rsid w:val="002E37E7"/>
    <w:rsid w:val="002E674C"/>
    <w:rsid w:val="002F1083"/>
    <w:rsid w:val="00303F67"/>
    <w:rsid w:val="003129C9"/>
    <w:rsid w:val="00317FED"/>
    <w:rsid w:val="00320670"/>
    <w:rsid w:val="003213B3"/>
    <w:rsid w:val="00330287"/>
    <w:rsid w:val="003350F4"/>
    <w:rsid w:val="00335BF3"/>
    <w:rsid w:val="0034338E"/>
    <w:rsid w:val="00346ACF"/>
    <w:rsid w:val="003530C6"/>
    <w:rsid w:val="003555C8"/>
    <w:rsid w:val="00360138"/>
    <w:rsid w:val="003602C4"/>
    <w:rsid w:val="003717BA"/>
    <w:rsid w:val="00372248"/>
    <w:rsid w:val="003915D2"/>
    <w:rsid w:val="003A1419"/>
    <w:rsid w:val="003B127B"/>
    <w:rsid w:val="003B2CCA"/>
    <w:rsid w:val="003B35DC"/>
    <w:rsid w:val="003B7E34"/>
    <w:rsid w:val="003C00AF"/>
    <w:rsid w:val="003D65FB"/>
    <w:rsid w:val="003E3640"/>
    <w:rsid w:val="003F2E37"/>
    <w:rsid w:val="00400FA1"/>
    <w:rsid w:val="004061A9"/>
    <w:rsid w:val="00412DEB"/>
    <w:rsid w:val="00413A0E"/>
    <w:rsid w:val="00413E54"/>
    <w:rsid w:val="00422389"/>
    <w:rsid w:val="00434746"/>
    <w:rsid w:val="00442E5D"/>
    <w:rsid w:val="00443FC1"/>
    <w:rsid w:val="00444E18"/>
    <w:rsid w:val="00455FBB"/>
    <w:rsid w:val="0045645E"/>
    <w:rsid w:val="004610F4"/>
    <w:rsid w:val="00462355"/>
    <w:rsid w:val="00467189"/>
    <w:rsid w:val="00474DC0"/>
    <w:rsid w:val="004906D7"/>
    <w:rsid w:val="0049129A"/>
    <w:rsid w:val="00491949"/>
    <w:rsid w:val="00494104"/>
    <w:rsid w:val="004A6CDE"/>
    <w:rsid w:val="004C0040"/>
    <w:rsid w:val="004D6CE9"/>
    <w:rsid w:val="004E7E9B"/>
    <w:rsid w:val="004F4A15"/>
    <w:rsid w:val="004F5D11"/>
    <w:rsid w:val="0053210C"/>
    <w:rsid w:val="00544E00"/>
    <w:rsid w:val="0055675D"/>
    <w:rsid w:val="00560295"/>
    <w:rsid w:val="00562A82"/>
    <w:rsid w:val="00567E4E"/>
    <w:rsid w:val="00570562"/>
    <w:rsid w:val="00583AA2"/>
    <w:rsid w:val="00587EEF"/>
    <w:rsid w:val="00594065"/>
    <w:rsid w:val="005A0445"/>
    <w:rsid w:val="005D4A9C"/>
    <w:rsid w:val="005F36BF"/>
    <w:rsid w:val="005F5E78"/>
    <w:rsid w:val="00601230"/>
    <w:rsid w:val="006031A6"/>
    <w:rsid w:val="006061B3"/>
    <w:rsid w:val="0062060E"/>
    <w:rsid w:val="006214E0"/>
    <w:rsid w:val="00621502"/>
    <w:rsid w:val="006422BB"/>
    <w:rsid w:val="00652D0B"/>
    <w:rsid w:val="00660B99"/>
    <w:rsid w:val="00667BFA"/>
    <w:rsid w:val="00673934"/>
    <w:rsid w:val="006776B4"/>
    <w:rsid w:val="0069083C"/>
    <w:rsid w:val="006A7EBB"/>
    <w:rsid w:val="006B05A2"/>
    <w:rsid w:val="006C24A0"/>
    <w:rsid w:val="006C6A0A"/>
    <w:rsid w:val="006C7081"/>
    <w:rsid w:val="006D3FBA"/>
    <w:rsid w:val="006E3045"/>
    <w:rsid w:val="006F411C"/>
    <w:rsid w:val="006F6241"/>
    <w:rsid w:val="006F71E4"/>
    <w:rsid w:val="007001C3"/>
    <w:rsid w:val="00712729"/>
    <w:rsid w:val="007160CD"/>
    <w:rsid w:val="00724121"/>
    <w:rsid w:val="00734124"/>
    <w:rsid w:val="00735E3D"/>
    <w:rsid w:val="00741C01"/>
    <w:rsid w:val="007465B1"/>
    <w:rsid w:val="00756D7C"/>
    <w:rsid w:val="00765872"/>
    <w:rsid w:val="00766EA4"/>
    <w:rsid w:val="00770B4A"/>
    <w:rsid w:val="00785B7F"/>
    <w:rsid w:val="0079034F"/>
    <w:rsid w:val="0079633A"/>
    <w:rsid w:val="007A72A6"/>
    <w:rsid w:val="007B6E6F"/>
    <w:rsid w:val="007D3592"/>
    <w:rsid w:val="007E7684"/>
    <w:rsid w:val="007F1255"/>
    <w:rsid w:val="007F23C1"/>
    <w:rsid w:val="007F416A"/>
    <w:rsid w:val="0080149E"/>
    <w:rsid w:val="008113DB"/>
    <w:rsid w:val="008118C5"/>
    <w:rsid w:val="0082268E"/>
    <w:rsid w:val="00827344"/>
    <w:rsid w:val="00842D10"/>
    <w:rsid w:val="00855C06"/>
    <w:rsid w:val="008639F8"/>
    <w:rsid w:val="00886B6B"/>
    <w:rsid w:val="00890B61"/>
    <w:rsid w:val="00893F34"/>
    <w:rsid w:val="008940B9"/>
    <w:rsid w:val="008C2668"/>
    <w:rsid w:val="008C4020"/>
    <w:rsid w:val="008D0915"/>
    <w:rsid w:val="008D0E69"/>
    <w:rsid w:val="008D2459"/>
    <w:rsid w:val="008D3A00"/>
    <w:rsid w:val="008E1088"/>
    <w:rsid w:val="008E4D15"/>
    <w:rsid w:val="0090015C"/>
    <w:rsid w:val="00926C0D"/>
    <w:rsid w:val="00933CD1"/>
    <w:rsid w:val="009453D5"/>
    <w:rsid w:val="00951C40"/>
    <w:rsid w:val="00953C33"/>
    <w:rsid w:val="0096361A"/>
    <w:rsid w:val="0096674D"/>
    <w:rsid w:val="00970C1D"/>
    <w:rsid w:val="00974BE9"/>
    <w:rsid w:val="00975E4F"/>
    <w:rsid w:val="00981615"/>
    <w:rsid w:val="00981BE2"/>
    <w:rsid w:val="00991386"/>
    <w:rsid w:val="00993170"/>
    <w:rsid w:val="009A1727"/>
    <w:rsid w:val="009A4E90"/>
    <w:rsid w:val="009B3DFA"/>
    <w:rsid w:val="009D56A3"/>
    <w:rsid w:val="009D6D64"/>
    <w:rsid w:val="009D7C40"/>
    <w:rsid w:val="009E0B63"/>
    <w:rsid w:val="009E26E5"/>
    <w:rsid w:val="009F33C8"/>
    <w:rsid w:val="009F58CF"/>
    <w:rsid w:val="00A156CA"/>
    <w:rsid w:val="00A344FC"/>
    <w:rsid w:val="00A35C73"/>
    <w:rsid w:val="00A37B21"/>
    <w:rsid w:val="00A4056B"/>
    <w:rsid w:val="00A534E7"/>
    <w:rsid w:val="00A60AA9"/>
    <w:rsid w:val="00A72DB7"/>
    <w:rsid w:val="00A821E5"/>
    <w:rsid w:val="00A90208"/>
    <w:rsid w:val="00A92DE3"/>
    <w:rsid w:val="00A94371"/>
    <w:rsid w:val="00AB2336"/>
    <w:rsid w:val="00AB45A2"/>
    <w:rsid w:val="00AB5892"/>
    <w:rsid w:val="00AC626F"/>
    <w:rsid w:val="00AC6A0C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40BCF"/>
    <w:rsid w:val="00B43DF8"/>
    <w:rsid w:val="00B45447"/>
    <w:rsid w:val="00B466D9"/>
    <w:rsid w:val="00B54FBA"/>
    <w:rsid w:val="00B642AB"/>
    <w:rsid w:val="00B75E42"/>
    <w:rsid w:val="00B9628F"/>
    <w:rsid w:val="00BA007E"/>
    <w:rsid w:val="00BB04A2"/>
    <w:rsid w:val="00BB2B08"/>
    <w:rsid w:val="00BB39D6"/>
    <w:rsid w:val="00BC4599"/>
    <w:rsid w:val="00BD2C8C"/>
    <w:rsid w:val="00BE3832"/>
    <w:rsid w:val="00BF2A00"/>
    <w:rsid w:val="00C01498"/>
    <w:rsid w:val="00C0256F"/>
    <w:rsid w:val="00C16A42"/>
    <w:rsid w:val="00C22066"/>
    <w:rsid w:val="00C231D1"/>
    <w:rsid w:val="00C26BB7"/>
    <w:rsid w:val="00C2732A"/>
    <w:rsid w:val="00C31996"/>
    <w:rsid w:val="00C32CA7"/>
    <w:rsid w:val="00C43C1B"/>
    <w:rsid w:val="00C53F3D"/>
    <w:rsid w:val="00C633A0"/>
    <w:rsid w:val="00C65E16"/>
    <w:rsid w:val="00C73E99"/>
    <w:rsid w:val="00C80312"/>
    <w:rsid w:val="00C95A4D"/>
    <w:rsid w:val="00CA7987"/>
    <w:rsid w:val="00CB7500"/>
    <w:rsid w:val="00CC1D7E"/>
    <w:rsid w:val="00CC4D70"/>
    <w:rsid w:val="00CD7F28"/>
    <w:rsid w:val="00CE3538"/>
    <w:rsid w:val="00D062DD"/>
    <w:rsid w:val="00D07E84"/>
    <w:rsid w:val="00D14D2C"/>
    <w:rsid w:val="00D1767F"/>
    <w:rsid w:val="00D220AB"/>
    <w:rsid w:val="00D35E7C"/>
    <w:rsid w:val="00D36462"/>
    <w:rsid w:val="00D37F87"/>
    <w:rsid w:val="00D46B95"/>
    <w:rsid w:val="00D66DC4"/>
    <w:rsid w:val="00D727A9"/>
    <w:rsid w:val="00D7621E"/>
    <w:rsid w:val="00DC10CB"/>
    <w:rsid w:val="00DC1BA7"/>
    <w:rsid w:val="00DE7071"/>
    <w:rsid w:val="00DE73A8"/>
    <w:rsid w:val="00DF4011"/>
    <w:rsid w:val="00DF45B8"/>
    <w:rsid w:val="00DF4CBA"/>
    <w:rsid w:val="00E03657"/>
    <w:rsid w:val="00E17B30"/>
    <w:rsid w:val="00E338E1"/>
    <w:rsid w:val="00E3444E"/>
    <w:rsid w:val="00E502A6"/>
    <w:rsid w:val="00E5075B"/>
    <w:rsid w:val="00E50EF0"/>
    <w:rsid w:val="00E74AFA"/>
    <w:rsid w:val="00E77BCC"/>
    <w:rsid w:val="00E77F84"/>
    <w:rsid w:val="00E8599F"/>
    <w:rsid w:val="00E8694C"/>
    <w:rsid w:val="00E96C4D"/>
    <w:rsid w:val="00EA79D3"/>
    <w:rsid w:val="00EC24E2"/>
    <w:rsid w:val="00ED532A"/>
    <w:rsid w:val="00ED5F47"/>
    <w:rsid w:val="00EE1F1A"/>
    <w:rsid w:val="00EE20DD"/>
    <w:rsid w:val="00EE4FEA"/>
    <w:rsid w:val="00EE7252"/>
    <w:rsid w:val="00EF6D7A"/>
    <w:rsid w:val="00F12574"/>
    <w:rsid w:val="00F13ADA"/>
    <w:rsid w:val="00F143B1"/>
    <w:rsid w:val="00F14F2C"/>
    <w:rsid w:val="00F165AC"/>
    <w:rsid w:val="00F1660D"/>
    <w:rsid w:val="00F21330"/>
    <w:rsid w:val="00F262A9"/>
    <w:rsid w:val="00F35E00"/>
    <w:rsid w:val="00F516F4"/>
    <w:rsid w:val="00F53DC8"/>
    <w:rsid w:val="00F621CA"/>
    <w:rsid w:val="00F83737"/>
    <w:rsid w:val="00F93FF4"/>
    <w:rsid w:val="00FA588C"/>
    <w:rsid w:val="00FC3C66"/>
    <w:rsid w:val="00FC63F9"/>
    <w:rsid w:val="00FC71BD"/>
    <w:rsid w:val="00FD4792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92B847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mailto:presse@sskm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39F-B9CA-4069-870F-70F1FC6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9EBF2835.dotm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Dr. Joachim Fröhler</cp:lastModifiedBy>
  <cp:revision>2</cp:revision>
  <cp:lastPrinted>2020-02-14T09:55:00Z</cp:lastPrinted>
  <dcterms:created xsi:type="dcterms:W3CDTF">2020-02-14T14:29:00Z</dcterms:created>
  <dcterms:modified xsi:type="dcterms:W3CDTF">2020-02-14T14:29:00Z</dcterms:modified>
</cp:coreProperties>
</file>