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D7" w:rsidRPr="00FA1AB7" w:rsidRDefault="000C3CD7" w:rsidP="00FA1AB7">
      <w:pPr>
        <w:rPr>
          <w:b/>
          <w:sz w:val="24"/>
          <w:szCs w:val="24"/>
          <w:lang w:eastAsia="de-DE"/>
        </w:rPr>
      </w:pPr>
      <w:bookmarkStart w:id="0" w:name="_GoBack"/>
      <w:r w:rsidRPr="00FA1AB7">
        <w:rPr>
          <w:b/>
          <w:sz w:val="24"/>
          <w:szCs w:val="24"/>
          <w:lang w:eastAsia="de-DE"/>
        </w:rPr>
        <w:t>Rechtsanwälte Aslanidis, Kress und Häcker-Hollmann erst</w:t>
      </w:r>
      <w:r w:rsidR="00FA1AB7" w:rsidRPr="00FA1AB7">
        <w:rPr>
          <w:b/>
          <w:sz w:val="24"/>
          <w:szCs w:val="24"/>
          <w:lang w:eastAsia="de-DE"/>
        </w:rPr>
        <w:t xml:space="preserve">reiten obsiegendes Urteil </w:t>
      </w:r>
      <w:r w:rsidRPr="00FA1AB7">
        <w:rPr>
          <w:b/>
          <w:sz w:val="24"/>
          <w:szCs w:val="24"/>
          <w:lang w:eastAsia="de-DE"/>
        </w:rPr>
        <w:t>Frankfurter Sparkasse</w:t>
      </w:r>
    </w:p>
    <w:p w:rsidR="00FA1AB7" w:rsidRPr="000C3CD7" w:rsidRDefault="00FA1AB7" w:rsidP="00FA1AB7">
      <w:pPr>
        <w:rPr>
          <w:lang w:eastAsia="de-DE"/>
        </w:rPr>
      </w:pPr>
    </w:p>
    <w:p w:rsidR="000C3CD7" w:rsidRPr="000C3CD7" w:rsidRDefault="000C3CD7" w:rsidP="000C3CD7">
      <w:pPr>
        <w:spacing w:after="225" w:line="300" w:lineRule="atLeast"/>
        <w:rPr>
          <w:rFonts w:eastAsia="Times New Roman" w:cs="Times New Roman"/>
          <w:color w:val="65686D"/>
          <w:sz w:val="24"/>
          <w:szCs w:val="24"/>
          <w:lang w:eastAsia="de-DE"/>
        </w:rPr>
      </w:pPr>
      <w:r w:rsidRPr="000C3CD7">
        <w:rPr>
          <w:rFonts w:eastAsia="Times New Roman" w:cs="Times New Roman"/>
          <w:color w:val="65686D"/>
          <w:sz w:val="24"/>
          <w:szCs w:val="24"/>
          <w:lang w:eastAsia="de-DE"/>
        </w:rPr>
        <w:t>In</w:t>
      </w:r>
      <w:r w:rsidR="000820CE" w:rsidRPr="00FA1AB7">
        <w:rPr>
          <w:rFonts w:eastAsia="Times New Roman" w:cs="Times New Roman"/>
          <w:color w:val="65686D"/>
          <w:sz w:val="24"/>
          <w:szCs w:val="24"/>
          <w:lang w:eastAsia="de-DE"/>
        </w:rPr>
        <w:t xml:space="preserve"> einem seitens der Esslinger </w:t>
      </w:r>
      <w:r w:rsidR="00FA1AB7" w:rsidRPr="00FA1AB7">
        <w:rPr>
          <w:rFonts w:eastAsia="Times New Roman" w:cs="Times New Roman"/>
          <w:color w:val="65686D"/>
          <w:sz w:val="24"/>
          <w:szCs w:val="24"/>
          <w:lang w:eastAsia="de-DE"/>
        </w:rPr>
        <w:t>Rechtsanwaltskanzlei</w:t>
      </w:r>
      <w:r w:rsidRPr="000C3CD7">
        <w:rPr>
          <w:rFonts w:eastAsia="Times New Roman" w:cs="Times New Roman"/>
          <w:color w:val="65686D"/>
          <w:sz w:val="24"/>
          <w:szCs w:val="24"/>
          <w:lang w:eastAsia="de-DE"/>
        </w:rPr>
        <w:t xml:space="preserve"> Aslanidis, Kress und Häcker-Hollmann für einen Anleger des </w:t>
      </w:r>
      <w:hyperlink r:id="rId6" w:history="1">
        <w:r w:rsidRPr="000C3CD7">
          <w:rPr>
            <w:rFonts w:eastAsia="Times New Roman" w:cs="Times New Roman"/>
            <w:sz w:val="24"/>
            <w:szCs w:val="24"/>
            <w:lang w:eastAsia="de-DE"/>
          </w:rPr>
          <w:t>geschlossenen Lebensversicherungsfonds</w:t>
        </w:r>
      </w:hyperlink>
      <w:r w:rsidRPr="000C3CD7">
        <w:rPr>
          <w:rFonts w:eastAsia="Times New Roman" w:cs="Times New Roman"/>
          <w:sz w:val="24"/>
          <w:szCs w:val="24"/>
          <w:lang w:eastAsia="de-DE"/>
        </w:rPr>
        <w:t xml:space="preserve"> </w:t>
      </w:r>
      <w:r w:rsidRPr="000C3CD7">
        <w:rPr>
          <w:rFonts w:eastAsia="Times New Roman" w:cs="Times New Roman"/>
          <w:color w:val="65686D"/>
          <w:sz w:val="24"/>
          <w:szCs w:val="24"/>
          <w:lang w:eastAsia="de-DE"/>
        </w:rPr>
        <w:t>HSC Optivita VIII UK erstrittenen Urteil hat das Landgericht Frankfurt die beklagte Frankfurter Sparkasse zur Rückabwicklung der Beteiligung sowie Zahlung von etwas mehr als 21.000 € verurteilt.</w:t>
      </w:r>
    </w:p>
    <w:p w:rsidR="000C3CD7" w:rsidRPr="000C3CD7" w:rsidRDefault="000C3CD7" w:rsidP="000C3CD7">
      <w:pPr>
        <w:spacing w:after="150" w:line="240" w:lineRule="atLeast"/>
        <w:outlineLvl w:val="2"/>
        <w:rPr>
          <w:rFonts w:eastAsia="Times New Roman" w:cs="Times New Roman"/>
          <w:b/>
          <w:color w:val="6A6A6A"/>
          <w:sz w:val="24"/>
          <w:szCs w:val="24"/>
          <w:lang w:eastAsia="de-DE"/>
        </w:rPr>
      </w:pPr>
      <w:r w:rsidRPr="000C3CD7">
        <w:rPr>
          <w:rFonts w:eastAsia="Times New Roman" w:cs="Times New Roman"/>
          <w:b/>
          <w:color w:val="6A6A6A"/>
          <w:sz w:val="24"/>
          <w:szCs w:val="24"/>
          <w:lang w:eastAsia="de-DE"/>
        </w:rPr>
        <w:t>Der Sachverhalt:</w:t>
      </w:r>
    </w:p>
    <w:p w:rsidR="000C3CD7" w:rsidRPr="000C3CD7" w:rsidRDefault="000C3CD7" w:rsidP="000C3CD7">
      <w:pPr>
        <w:spacing w:after="225" w:line="300" w:lineRule="atLeast"/>
        <w:rPr>
          <w:rFonts w:eastAsia="Times New Roman" w:cs="Times New Roman"/>
          <w:color w:val="65686D"/>
          <w:sz w:val="24"/>
          <w:szCs w:val="24"/>
          <w:lang w:eastAsia="de-DE"/>
        </w:rPr>
      </w:pPr>
      <w:r w:rsidRPr="000C3CD7">
        <w:rPr>
          <w:rFonts w:eastAsia="Times New Roman" w:cs="Times New Roman"/>
          <w:color w:val="65686D"/>
          <w:sz w:val="24"/>
          <w:szCs w:val="24"/>
          <w:lang w:eastAsia="de-DE"/>
        </w:rPr>
        <w:t>Die Klägerin unterzeichnete im Jahr 2007 eine Beitrittserklärung zum HSC Optivita VIII UK in Höhe von 25.000 € zzgl. Agio nach entsprechend vorange</w:t>
      </w:r>
      <w:r w:rsidR="00D256C0" w:rsidRPr="00FA1AB7">
        <w:rPr>
          <w:rFonts w:eastAsia="Times New Roman" w:cs="Times New Roman"/>
          <w:color w:val="65686D"/>
          <w:sz w:val="24"/>
          <w:szCs w:val="24"/>
          <w:lang w:eastAsia="de-DE"/>
        </w:rPr>
        <w:t xml:space="preserve">gangener Beratung der </w:t>
      </w:r>
      <w:r w:rsidRPr="000C3CD7">
        <w:rPr>
          <w:rFonts w:eastAsia="Times New Roman" w:cs="Times New Roman"/>
          <w:color w:val="65686D"/>
          <w:sz w:val="24"/>
          <w:szCs w:val="24"/>
          <w:lang w:eastAsia="de-DE"/>
        </w:rPr>
        <w:t>Frankfurt</w:t>
      </w:r>
      <w:r w:rsidR="00D256C0" w:rsidRPr="00FA1AB7">
        <w:rPr>
          <w:rFonts w:eastAsia="Times New Roman" w:cs="Times New Roman"/>
          <w:color w:val="65686D"/>
          <w:sz w:val="24"/>
          <w:szCs w:val="24"/>
          <w:lang w:eastAsia="de-DE"/>
        </w:rPr>
        <w:t>er Sparkasse</w:t>
      </w:r>
      <w:r w:rsidRPr="000C3CD7">
        <w:rPr>
          <w:rFonts w:eastAsia="Times New Roman" w:cs="Times New Roman"/>
          <w:color w:val="65686D"/>
          <w:sz w:val="24"/>
          <w:szCs w:val="24"/>
          <w:lang w:eastAsia="de-DE"/>
        </w:rPr>
        <w:t>. Während der Beratung wurde die Klägerin lediglich über das Agio aufgeklärt, welches als Provision an die Beklagte fließen würde. Tatsächlich hat die Beklagte allerdings neben dem Agio weitere Provisionen erhalten, über die s</w:t>
      </w:r>
      <w:r w:rsidR="00D256C0" w:rsidRPr="00FA1AB7">
        <w:rPr>
          <w:rFonts w:eastAsia="Times New Roman" w:cs="Times New Roman"/>
          <w:color w:val="65686D"/>
          <w:sz w:val="24"/>
          <w:szCs w:val="24"/>
          <w:lang w:eastAsia="de-DE"/>
        </w:rPr>
        <w:t>ie die Klägerin nicht aufklärte.</w:t>
      </w:r>
    </w:p>
    <w:p w:rsidR="000820CE" w:rsidRPr="00FA1AB7" w:rsidRDefault="000820CE" w:rsidP="000C3CD7">
      <w:pPr>
        <w:spacing w:after="150" w:line="240" w:lineRule="atLeast"/>
        <w:outlineLvl w:val="2"/>
        <w:rPr>
          <w:rFonts w:eastAsia="Times New Roman" w:cs="Times New Roman"/>
          <w:b/>
          <w:color w:val="6A6A6A"/>
          <w:sz w:val="24"/>
          <w:szCs w:val="24"/>
          <w:lang w:eastAsia="de-DE"/>
        </w:rPr>
      </w:pPr>
      <w:r w:rsidRPr="00FA1AB7">
        <w:rPr>
          <w:rFonts w:eastAsia="Times New Roman" w:cs="Times New Roman"/>
          <w:b/>
          <w:color w:val="6A6A6A"/>
          <w:sz w:val="24"/>
          <w:szCs w:val="24"/>
          <w:lang w:eastAsia="de-DE"/>
        </w:rPr>
        <w:t>Landgericht Frankfurt entscheidet zugunsten der Anleger</w:t>
      </w:r>
    </w:p>
    <w:p w:rsidR="000C3CD7" w:rsidRPr="000C3CD7" w:rsidRDefault="000C3CD7" w:rsidP="000C3CD7">
      <w:pPr>
        <w:spacing w:after="150" w:line="240" w:lineRule="atLeast"/>
        <w:outlineLvl w:val="2"/>
        <w:rPr>
          <w:rFonts w:eastAsia="Times New Roman" w:cs="Times New Roman"/>
          <w:color w:val="6A6A6A"/>
          <w:sz w:val="24"/>
          <w:szCs w:val="24"/>
          <w:lang w:eastAsia="de-DE"/>
        </w:rPr>
      </w:pPr>
      <w:r w:rsidRPr="000C3CD7">
        <w:rPr>
          <w:rFonts w:eastAsia="Times New Roman" w:cs="Times New Roman"/>
          <w:color w:val="65686D"/>
          <w:sz w:val="24"/>
          <w:szCs w:val="24"/>
          <w:lang w:eastAsia="de-DE"/>
        </w:rPr>
        <w:t>Das Gericht war nach durchgeführter Beweisaufnahme davon überzeugt, dass die Klägerin nicht ordnungsgemäß über anfallende Provisionen aufgeklärt wurde und nicht gezeichnet hätte, wenn eine entsprechende Aufklärung erfolgt wäre. Dabei hat das Gericht die bestehende Beweislastverteilung zu Lasten der Beklagten auf der Ebene der Kausalität und der Verjährung zutreffend angewandt. Die von der Beklagten eingewandte Einrede der Verjährung wurde vom Gericht völlig zu Recht abgelehnt.</w:t>
      </w:r>
    </w:p>
    <w:p w:rsidR="000C3CD7" w:rsidRPr="000C3CD7" w:rsidRDefault="000C3CD7" w:rsidP="000C3CD7">
      <w:pPr>
        <w:spacing w:after="150" w:line="240" w:lineRule="atLeast"/>
        <w:outlineLvl w:val="2"/>
        <w:rPr>
          <w:rFonts w:eastAsia="Times New Roman" w:cs="Times New Roman"/>
          <w:b/>
          <w:color w:val="6A6A6A"/>
          <w:sz w:val="24"/>
          <w:szCs w:val="24"/>
          <w:lang w:eastAsia="de-DE"/>
        </w:rPr>
      </w:pPr>
      <w:r w:rsidRPr="000C3CD7">
        <w:rPr>
          <w:rFonts w:eastAsia="Times New Roman" w:cs="Times New Roman"/>
          <w:b/>
          <w:color w:val="6A6A6A"/>
          <w:sz w:val="24"/>
          <w:szCs w:val="24"/>
          <w:lang w:eastAsia="de-DE"/>
        </w:rPr>
        <w:t>Streitpunkt Provisionen: LG Frankfurt lässt Einwand der Frankfurter Sparkasse gegen Klägervortrag nicht gelten</w:t>
      </w:r>
    </w:p>
    <w:p w:rsidR="000C3CD7" w:rsidRPr="000C3CD7" w:rsidRDefault="000C3CD7" w:rsidP="00D256C0">
      <w:pPr>
        <w:spacing w:after="225" w:line="300" w:lineRule="atLeast"/>
        <w:rPr>
          <w:rFonts w:eastAsia="Times New Roman" w:cs="Times New Roman"/>
          <w:color w:val="65686D"/>
          <w:sz w:val="24"/>
          <w:szCs w:val="24"/>
          <w:lang w:eastAsia="de-DE"/>
        </w:rPr>
      </w:pPr>
      <w:r w:rsidRPr="000C3CD7">
        <w:rPr>
          <w:rFonts w:eastAsia="Times New Roman" w:cs="Times New Roman"/>
          <w:color w:val="65686D"/>
          <w:sz w:val="24"/>
          <w:szCs w:val="24"/>
          <w:lang w:eastAsia="de-DE"/>
        </w:rPr>
        <w:t xml:space="preserve">Interessant an dieser Entscheidung war zudem, dass sich die Beklagte – wie Banken und Sparkassen häufiger – darauf berief, der Vortrag der Klägerin zur Höhe der angefallenen Provisionen sei lediglich pauschal „ins Blaue hinein“ erfolgt. </w:t>
      </w:r>
      <w:r w:rsidR="00FA1AB7" w:rsidRPr="00FA1AB7">
        <w:rPr>
          <w:rFonts w:eastAsia="Times New Roman" w:cs="Times New Roman"/>
          <w:color w:val="65686D"/>
          <w:sz w:val="24"/>
          <w:szCs w:val="24"/>
          <w:lang w:eastAsia="de-DE"/>
        </w:rPr>
        <w:t>Zutreffender Weise</w:t>
      </w:r>
      <w:r w:rsidRPr="000C3CD7">
        <w:rPr>
          <w:rFonts w:eastAsia="Times New Roman" w:cs="Times New Roman"/>
          <w:color w:val="65686D"/>
          <w:sz w:val="24"/>
          <w:szCs w:val="24"/>
          <w:lang w:eastAsia="de-DE"/>
        </w:rPr>
        <w:t xml:space="preserve"> hat es das Landgericht als absolut ausreichend erachtet die jeweiligen Passagen des Prospektes zu zitieren und entsprechenden Zeugenbeweis anzubieten, so dass die Sparkasse eine sekundäre Beweislast traf.</w:t>
      </w:r>
      <w:r w:rsidRPr="000C3CD7">
        <w:rPr>
          <w:rFonts w:eastAsia="Times New Roman" w:cs="Times New Roman"/>
          <w:color w:val="65686D"/>
          <w:sz w:val="24"/>
          <w:szCs w:val="24"/>
          <w:lang w:eastAsia="de-DE"/>
        </w:rPr>
        <w:br/>
        <w:t>Das Urteil ist noch nicht rechtskräftig.</w:t>
      </w:r>
    </w:p>
    <w:p w:rsidR="000C3CD7" w:rsidRPr="000C3CD7" w:rsidRDefault="000C3CD7" w:rsidP="000C3CD7">
      <w:pPr>
        <w:spacing w:after="150" w:line="240" w:lineRule="atLeast"/>
        <w:outlineLvl w:val="2"/>
        <w:rPr>
          <w:rFonts w:eastAsia="Times New Roman" w:cs="Times New Roman"/>
          <w:b/>
          <w:color w:val="6A6A6A"/>
          <w:sz w:val="24"/>
          <w:szCs w:val="24"/>
          <w:lang w:eastAsia="de-DE"/>
        </w:rPr>
      </w:pPr>
      <w:r w:rsidRPr="000C3CD7">
        <w:rPr>
          <w:rFonts w:eastAsia="Times New Roman" w:cs="Times New Roman"/>
          <w:b/>
          <w:color w:val="6A6A6A"/>
          <w:sz w:val="24"/>
          <w:szCs w:val="24"/>
          <w:lang w:eastAsia="de-DE"/>
        </w:rPr>
        <w:t>Fazit:</w:t>
      </w:r>
    </w:p>
    <w:p w:rsidR="000C3CD7" w:rsidRPr="000C3CD7" w:rsidRDefault="000C3CD7" w:rsidP="000C3CD7">
      <w:pPr>
        <w:spacing w:after="225" w:line="300" w:lineRule="atLeast"/>
        <w:rPr>
          <w:rFonts w:eastAsia="Times New Roman" w:cs="Times New Roman"/>
          <w:color w:val="65686D"/>
          <w:sz w:val="24"/>
          <w:szCs w:val="24"/>
          <w:lang w:eastAsia="de-DE"/>
        </w:rPr>
      </w:pPr>
      <w:r w:rsidRPr="000C3CD7">
        <w:rPr>
          <w:rFonts w:eastAsia="Times New Roman" w:cs="Times New Roman"/>
          <w:color w:val="65686D"/>
          <w:sz w:val="24"/>
          <w:szCs w:val="24"/>
          <w:lang w:eastAsia="de-DE"/>
        </w:rPr>
        <w:t> Auch im Bereich der Aufklärungspflicht der Banken über Provisionen kommt es stets auf den Einzelfall an. Teilweise hatten die zuständigen Berater gar keine Kenntnis von der tatsächlichen Höhe der anfallenden Provisionen. Stellt sich im Verfahren heraus, dass der Berater diesbezüglich keine korrekten Angaben gemacht hat oder auch nicht machen konnte, weil ihm die tatsächliche Höhe der Provisionen gar nicht mitgeteilt wurde und führt dieser Informationsmangel zu einer - sich im Nachhinein ergebenden - fehlerhaften Darstellung, kann dies, zu Gunsten der Anleger, zur gesamten Rückabwicklung der Beteiligung führen.</w:t>
      </w:r>
    </w:p>
    <w:p w:rsidR="00D256C0" w:rsidRPr="00FA1AB7" w:rsidRDefault="000C3CD7" w:rsidP="000C3CD7">
      <w:pPr>
        <w:spacing w:after="150" w:line="240" w:lineRule="atLeast"/>
        <w:outlineLvl w:val="2"/>
        <w:rPr>
          <w:rFonts w:eastAsia="Times New Roman" w:cs="Times New Roman"/>
          <w:b/>
          <w:color w:val="6A6A6A"/>
          <w:sz w:val="24"/>
          <w:szCs w:val="24"/>
          <w:lang w:eastAsia="de-DE"/>
        </w:rPr>
      </w:pPr>
      <w:r w:rsidRPr="000C3CD7">
        <w:rPr>
          <w:rFonts w:eastAsia="Times New Roman" w:cs="Times New Roman"/>
          <w:color w:val="6A6A6A"/>
          <w:sz w:val="24"/>
          <w:szCs w:val="24"/>
          <w:lang w:eastAsia="de-DE"/>
        </w:rPr>
        <w:t> </w:t>
      </w:r>
      <w:r w:rsidRPr="000C3CD7">
        <w:rPr>
          <w:rFonts w:eastAsia="Times New Roman" w:cs="Times New Roman"/>
          <w:color w:val="6A6A6A"/>
          <w:sz w:val="24"/>
          <w:szCs w:val="24"/>
          <w:lang w:eastAsia="de-DE"/>
        </w:rPr>
        <w:br/>
      </w:r>
      <w:r w:rsidR="00F662EA" w:rsidRPr="00FA1AB7">
        <w:rPr>
          <w:rFonts w:eastAsia="Times New Roman" w:cs="Times New Roman"/>
          <w:b/>
          <w:color w:val="6A6A6A"/>
          <w:sz w:val="24"/>
          <w:szCs w:val="24"/>
          <w:lang w:eastAsia="de-DE"/>
        </w:rPr>
        <w:t>Urteil stärkt Position geschädigter</w:t>
      </w:r>
      <w:r w:rsidR="00FA1AB7" w:rsidRPr="00FA1AB7">
        <w:rPr>
          <w:rFonts w:eastAsia="Times New Roman" w:cs="Times New Roman"/>
          <w:b/>
          <w:color w:val="6A6A6A"/>
          <w:sz w:val="24"/>
          <w:szCs w:val="24"/>
          <w:lang w:eastAsia="de-DE"/>
        </w:rPr>
        <w:t xml:space="preserve"> Fondsanleger</w:t>
      </w:r>
    </w:p>
    <w:p w:rsidR="00F662EA" w:rsidRPr="00FA1AB7" w:rsidRDefault="00F662EA" w:rsidP="000C3CD7">
      <w:pPr>
        <w:spacing w:after="150" w:line="240" w:lineRule="atLeast"/>
        <w:outlineLvl w:val="2"/>
        <w:rPr>
          <w:rFonts w:eastAsia="Times New Roman" w:cs="Times New Roman"/>
          <w:color w:val="6A6A6A"/>
          <w:sz w:val="24"/>
          <w:szCs w:val="24"/>
          <w:lang w:eastAsia="de-DE"/>
        </w:rPr>
      </w:pPr>
      <w:r w:rsidRPr="00FA1AB7">
        <w:rPr>
          <w:rFonts w:eastAsia="Times New Roman" w:cs="Times New Roman"/>
          <w:color w:val="6A6A6A"/>
          <w:sz w:val="24"/>
          <w:szCs w:val="24"/>
          <w:lang w:eastAsia="de-DE"/>
        </w:rPr>
        <w:t xml:space="preserve">Das seitens der Kanzlei Aslanidis, Kress &amp; Häcker-Hollmann </w:t>
      </w:r>
      <w:r w:rsidR="00FA1AB7" w:rsidRPr="00FA1AB7">
        <w:rPr>
          <w:rFonts w:eastAsia="Times New Roman" w:cs="Times New Roman"/>
          <w:color w:val="6A6A6A"/>
          <w:sz w:val="24"/>
          <w:szCs w:val="24"/>
          <w:lang w:eastAsia="de-DE"/>
        </w:rPr>
        <w:t xml:space="preserve">erstrittene Urteil </w:t>
      </w:r>
      <w:r w:rsidRPr="00FA1AB7">
        <w:rPr>
          <w:rFonts w:eastAsia="Times New Roman" w:cs="Times New Roman"/>
          <w:color w:val="6A6A6A"/>
          <w:sz w:val="24"/>
          <w:szCs w:val="24"/>
          <w:lang w:eastAsia="de-DE"/>
        </w:rPr>
        <w:t>stärk</w:t>
      </w:r>
      <w:r w:rsidR="00BB413F" w:rsidRPr="00FA1AB7">
        <w:rPr>
          <w:rFonts w:eastAsia="Times New Roman" w:cs="Times New Roman"/>
          <w:color w:val="6A6A6A"/>
          <w:sz w:val="24"/>
          <w:szCs w:val="24"/>
          <w:lang w:eastAsia="de-DE"/>
        </w:rPr>
        <w:t>t die erneut die Position von Zeichnern geschlossener Lebensversicherungsfonds. Diese haben nun die Möglichkeit</w:t>
      </w:r>
      <w:r w:rsidRPr="00FA1AB7">
        <w:rPr>
          <w:rFonts w:eastAsia="Times New Roman" w:cs="Times New Roman"/>
          <w:color w:val="6A6A6A"/>
          <w:sz w:val="24"/>
          <w:szCs w:val="24"/>
          <w:lang w:eastAsia="de-DE"/>
        </w:rPr>
        <w:t xml:space="preserve">, </w:t>
      </w:r>
      <w:r w:rsidR="00BB413F" w:rsidRPr="00FA1AB7">
        <w:rPr>
          <w:rFonts w:eastAsia="Times New Roman" w:cs="Times New Roman"/>
          <w:color w:val="6A6A6A"/>
          <w:sz w:val="24"/>
          <w:szCs w:val="24"/>
          <w:lang w:eastAsia="de-DE"/>
        </w:rPr>
        <w:t xml:space="preserve">durch ein Vorgehen gegen die vermittelnden Banken oder Sparkassen den im </w:t>
      </w:r>
      <w:r w:rsidR="00BB413F" w:rsidRPr="00FA1AB7">
        <w:rPr>
          <w:rFonts w:eastAsia="Times New Roman" w:cs="Times New Roman"/>
          <w:color w:val="6A6A6A"/>
          <w:sz w:val="24"/>
          <w:szCs w:val="24"/>
          <w:lang w:eastAsia="de-DE"/>
        </w:rPr>
        <w:lastRenderedPageBreak/>
        <w:t xml:space="preserve">Zuge der Zeichnung und der vorausgegangenen Falsch- bzw. Fehlberatung </w:t>
      </w:r>
      <w:r w:rsidR="00FA1AB7" w:rsidRPr="00FA1AB7">
        <w:rPr>
          <w:rFonts w:eastAsia="Times New Roman" w:cs="Times New Roman"/>
          <w:color w:val="6A6A6A"/>
          <w:sz w:val="24"/>
          <w:szCs w:val="24"/>
          <w:lang w:eastAsia="de-DE"/>
        </w:rPr>
        <w:t xml:space="preserve">erlittenen finanziellen Schaden </w:t>
      </w:r>
      <w:r w:rsidR="00BB413F" w:rsidRPr="00FA1AB7">
        <w:rPr>
          <w:rFonts w:eastAsia="Times New Roman" w:cs="Times New Roman"/>
          <w:color w:val="6A6A6A"/>
          <w:sz w:val="24"/>
          <w:szCs w:val="24"/>
          <w:lang w:eastAsia="de-DE"/>
        </w:rPr>
        <w:t xml:space="preserve">zu kompensieren. </w:t>
      </w:r>
    </w:p>
    <w:p w:rsidR="000C3CD7" w:rsidRPr="00FA1AB7" w:rsidRDefault="00BB413F" w:rsidP="000C3CD7">
      <w:pPr>
        <w:spacing w:after="150" w:line="240" w:lineRule="atLeast"/>
        <w:outlineLvl w:val="2"/>
        <w:rPr>
          <w:rFonts w:eastAsia="Times New Roman" w:cs="Times New Roman"/>
          <w:b/>
          <w:color w:val="6A6A6A"/>
          <w:sz w:val="24"/>
          <w:szCs w:val="24"/>
          <w:lang w:eastAsia="de-DE"/>
        </w:rPr>
      </w:pPr>
      <w:r w:rsidRPr="00FA1AB7">
        <w:rPr>
          <w:rFonts w:eastAsia="Times New Roman" w:cs="Times New Roman"/>
          <w:b/>
          <w:color w:val="6A6A6A"/>
          <w:sz w:val="24"/>
          <w:szCs w:val="24"/>
          <w:lang w:eastAsia="de-DE"/>
        </w:rPr>
        <w:t xml:space="preserve">Was können betroffene Anleger geschlossener Lebensversicherungsfonds </w:t>
      </w:r>
      <w:r w:rsidR="000C3CD7" w:rsidRPr="000C3CD7">
        <w:rPr>
          <w:rFonts w:eastAsia="Times New Roman" w:cs="Times New Roman"/>
          <w:b/>
          <w:color w:val="6A6A6A"/>
          <w:sz w:val="24"/>
          <w:szCs w:val="24"/>
          <w:lang w:eastAsia="de-DE"/>
        </w:rPr>
        <w:t xml:space="preserve"> jetzt tun?</w:t>
      </w:r>
    </w:p>
    <w:p w:rsidR="000C3CD7" w:rsidRPr="000C3CD7" w:rsidRDefault="000C3CD7" w:rsidP="000C3CD7">
      <w:pPr>
        <w:spacing w:after="150" w:line="240" w:lineRule="atLeast"/>
        <w:outlineLvl w:val="2"/>
        <w:rPr>
          <w:rFonts w:eastAsia="Times New Roman" w:cs="Times New Roman"/>
          <w:color w:val="6A6A6A"/>
          <w:sz w:val="24"/>
          <w:szCs w:val="24"/>
          <w:lang w:eastAsia="de-DE"/>
        </w:rPr>
      </w:pPr>
      <w:r w:rsidRPr="000C3CD7">
        <w:rPr>
          <w:rFonts w:eastAsia="Times New Roman" w:cs="Times New Roman"/>
          <w:color w:val="65686D"/>
          <w:sz w:val="24"/>
          <w:szCs w:val="24"/>
          <w:lang w:eastAsia="de-DE"/>
        </w:rPr>
        <w:t xml:space="preserve">Betroffenen Anlegern </w:t>
      </w:r>
      <w:r w:rsidR="00BB413F" w:rsidRPr="00FA1AB7">
        <w:rPr>
          <w:rFonts w:eastAsia="Times New Roman" w:cs="Times New Roman"/>
          <w:color w:val="65686D"/>
          <w:sz w:val="24"/>
          <w:szCs w:val="24"/>
          <w:lang w:eastAsia="de-DE"/>
        </w:rPr>
        <w:t xml:space="preserve">geschlossener Lebensversicherungsfonds </w:t>
      </w:r>
      <w:r w:rsidRPr="000C3CD7">
        <w:rPr>
          <w:rFonts w:eastAsia="Times New Roman" w:cs="Times New Roman"/>
          <w:color w:val="65686D"/>
          <w:sz w:val="24"/>
          <w:szCs w:val="24"/>
          <w:lang w:eastAsia="de-DE"/>
        </w:rPr>
        <w:t xml:space="preserve">wird geraten,  ihre in Betracht kommenden Ansprüche durch einen auf Bank- und Kapitalmarktrecht spezialisierten Rechtsanwalt prüfen zu lassen. </w:t>
      </w:r>
      <w:r w:rsidR="00BB413F" w:rsidRPr="00FA1AB7">
        <w:rPr>
          <w:rFonts w:eastAsia="Times New Roman" w:cs="Times New Roman"/>
          <w:color w:val="65686D"/>
          <w:sz w:val="24"/>
          <w:szCs w:val="24"/>
          <w:lang w:eastAsia="de-DE"/>
        </w:rPr>
        <w:t>Vor dem Hintergrund der in geschlossenen Fonds 10 Jahre ab Zeichnung zu laufen beginnenden absoluten (=</w:t>
      </w:r>
      <w:r w:rsidR="00FA1AB7">
        <w:rPr>
          <w:rFonts w:eastAsia="Times New Roman" w:cs="Times New Roman"/>
          <w:color w:val="65686D"/>
          <w:sz w:val="24"/>
          <w:szCs w:val="24"/>
          <w:lang w:eastAsia="de-DE"/>
        </w:rPr>
        <w:t xml:space="preserve"> </w:t>
      </w:r>
      <w:r w:rsidR="00BB413F" w:rsidRPr="00FA1AB7">
        <w:rPr>
          <w:rFonts w:eastAsia="Times New Roman" w:cs="Times New Roman"/>
          <w:color w:val="65686D"/>
          <w:sz w:val="24"/>
          <w:szCs w:val="24"/>
          <w:lang w:eastAsia="de-DE"/>
        </w:rPr>
        <w:t>kenntnisunabhängigen) Verjährungsfrist i</w:t>
      </w:r>
      <w:r w:rsidR="00FA1AB7" w:rsidRPr="00FA1AB7">
        <w:rPr>
          <w:rFonts w:eastAsia="Times New Roman" w:cs="Times New Roman"/>
          <w:color w:val="65686D"/>
          <w:sz w:val="24"/>
          <w:szCs w:val="24"/>
          <w:lang w:eastAsia="de-DE"/>
        </w:rPr>
        <w:t xml:space="preserve">st ein umgehendes Vorgehen dringend </w:t>
      </w:r>
      <w:r w:rsidR="00BB413F" w:rsidRPr="00FA1AB7">
        <w:rPr>
          <w:rFonts w:eastAsia="Times New Roman" w:cs="Times New Roman"/>
          <w:color w:val="65686D"/>
          <w:sz w:val="24"/>
          <w:szCs w:val="24"/>
          <w:lang w:eastAsia="de-DE"/>
        </w:rPr>
        <w:t xml:space="preserve">zu empfehlen. </w:t>
      </w:r>
    </w:p>
    <w:bookmarkEnd w:id="0"/>
    <w:p w:rsidR="00605916" w:rsidRDefault="00605916"/>
    <w:sectPr w:rsidR="006059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D7"/>
    <w:rsid w:val="000820CE"/>
    <w:rsid w:val="000C3CD7"/>
    <w:rsid w:val="00605916"/>
    <w:rsid w:val="00BB413F"/>
    <w:rsid w:val="00D256C0"/>
    <w:rsid w:val="00F662EA"/>
    <w:rsid w:val="00FA1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4876">
      <w:bodyDiv w:val="1"/>
      <w:marLeft w:val="0"/>
      <w:marRight w:val="0"/>
      <w:marTop w:val="0"/>
      <w:marBottom w:val="0"/>
      <w:divBdr>
        <w:top w:val="none" w:sz="0" w:space="0" w:color="auto"/>
        <w:left w:val="none" w:sz="0" w:space="0" w:color="auto"/>
        <w:bottom w:val="none" w:sz="0" w:space="0" w:color="auto"/>
        <w:right w:val="none" w:sz="0" w:space="0" w:color="auto"/>
      </w:divBdr>
      <w:divsChild>
        <w:div w:id="1910337305">
          <w:marLeft w:val="0"/>
          <w:marRight w:val="0"/>
          <w:marTop w:val="0"/>
          <w:marBottom w:val="0"/>
          <w:divBdr>
            <w:top w:val="none" w:sz="0" w:space="0" w:color="auto"/>
            <w:left w:val="none" w:sz="0" w:space="0" w:color="auto"/>
            <w:bottom w:val="none" w:sz="0" w:space="0" w:color="auto"/>
            <w:right w:val="none" w:sz="0" w:space="0" w:color="auto"/>
          </w:divBdr>
          <w:divsChild>
            <w:div w:id="113792376">
              <w:marLeft w:val="0"/>
              <w:marRight w:val="0"/>
              <w:marTop w:val="0"/>
              <w:marBottom w:val="0"/>
              <w:divBdr>
                <w:top w:val="none" w:sz="0" w:space="0" w:color="auto"/>
                <w:left w:val="none" w:sz="0" w:space="0" w:color="auto"/>
                <w:bottom w:val="none" w:sz="0" w:space="0" w:color="auto"/>
                <w:right w:val="none" w:sz="0" w:space="0" w:color="auto"/>
              </w:divBdr>
              <w:divsChild>
                <w:div w:id="297613576">
                  <w:marLeft w:val="0"/>
                  <w:marRight w:val="0"/>
                  <w:marTop w:val="100"/>
                  <w:marBottom w:val="100"/>
                  <w:divBdr>
                    <w:top w:val="none" w:sz="0" w:space="0" w:color="auto"/>
                    <w:left w:val="none" w:sz="0" w:space="0" w:color="auto"/>
                    <w:bottom w:val="none" w:sz="0" w:space="0" w:color="auto"/>
                    <w:right w:val="none" w:sz="0" w:space="0" w:color="auto"/>
                  </w:divBdr>
                  <w:divsChild>
                    <w:div w:id="90321487">
                      <w:marLeft w:val="0"/>
                      <w:marRight w:val="0"/>
                      <w:marTop w:val="0"/>
                      <w:marBottom w:val="0"/>
                      <w:divBdr>
                        <w:top w:val="none" w:sz="0" w:space="0" w:color="auto"/>
                        <w:left w:val="none" w:sz="0" w:space="0" w:color="auto"/>
                        <w:bottom w:val="none" w:sz="0" w:space="0" w:color="auto"/>
                        <w:right w:val="none" w:sz="0" w:space="0" w:color="auto"/>
                      </w:divBdr>
                      <w:divsChild>
                        <w:div w:id="103381885">
                          <w:marLeft w:val="0"/>
                          <w:marRight w:val="0"/>
                          <w:marTop w:val="0"/>
                          <w:marBottom w:val="0"/>
                          <w:divBdr>
                            <w:top w:val="none" w:sz="0" w:space="0" w:color="auto"/>
                            <w:left w:val="none" w:sz="0" w:space="0" w:color="auto"/>
                            <w:bottom w:val="none" w:sz="0" w:space="0" w:color="auto"/>
                            <w:right w:val="none" w:sz="0" w:space="0" w:color="auto"/>
                          </w:divBdr>
                          <w:divsChild>
                            <w:div w:id="1327593440">
                              <w:marLeft w:val="0"/>
                              <w:marRight w:val="0"/>
                              <w:marTop w:val="0"/>
                              <w:marBottom w:val="0"/>
                              <w:divBdr>
                                <w:top w:val="none" w:sz="0" w:space="0" w:color="auto"/>
                                <w:left w:val="none" w:sz="0" w:space="0" w:color="auto"/>
                                <w:bottom w:val="none" w:sz="0" w:space="0" w:color="auto"/>
                                <w:right w:val="none" w:sz="0" w:space="0" w:color="auto"/>
                              </w:divBdr>
                              <w:divsChild>
                                <w:div w:id="510294257">
                                  <w:marLeft w:val="0"/>
                                  <w:marRight w:val="0"/>
                                  <w:marTop w:val="0"/>
                                  <w:marBottom w:val="0"/>
                                  <w:divBdr>
                                    <w:top w:val="none" w:sz="0" w:space="0" w:color="auto"/>
                                    <w:left w:val="none" w:sz="0" w:space="0" w:color="auto"/>
                                    <w:bottom w:val="none" w:sz="0" w:space="0" w:color="auto"/>
                                    <w:right w:val="none" w:sz="0" w:space="0" w:color="auto"/>
                                  </w:divBdr>
                                  <w:divsChild>
                                    <w:div w:id="460807022">
                                      <w:marLeft w:val="0"/>
                                      <w:marRight w:val="0"/>
                                      <w:marTop w:val="0"/>
                                      <w:marBottom w:val="0"/>
                                      <w:divBdr>
                                        <w:top w:val="none" w:sz="0" w:space="0" w:color="auto"/>
                                        <w:left w:val="none" w:sz="0" w:space="0" w:color="auto"/>
                                        <w:bottom w:val="none" w:sz="0" w:space="0" w:color="auto"/>
                                        <w:right w:val="none" w:sz="0" w:space="0" w:color="auto"/>
                                      </w:divBdr>
                                      <w:divsChild>
                                        <w:div w:id="2038702687">
                                          <w:marLeft w:val="0"/>
                                          <w:marRight w:val="0"/>
                                          <w:marTop w:val="0"/>
                                          <w:marBottom w:val="0"/>
                                          <w:divBdr>
                                            <w:top w:val="none" w:sz="0" w:space="0" w:color="auto"/>
                                            <w:left w:val="none" w:sz="0" w:space="0" w:color="auto"/>
                                            <w:bottom w:val="none" w:sz="0" w:space="0" w:color="auto"/>
                                            <w:right w:val="none" w:sz="0" w:space="0" w:color="auto"/>
                                          </w:divBdr>
                                          <w:divsChild>
                                            <w:div w:id="192964582">
                                              <w:marLeft w:val="0"/>
                                              <w:marRight w:val="0"/>
                                              <w:marTop w:val="0"/>
                                              <w:marBottom w:val="150"/>
                                              <w:divBdr>
                                                <w:top w:val="none" w:sz="0" w:space="0" w:color="auto"/>
                                                <w:left w:val="none" w:sz="0" w:space="0" w:color="auto"/>
                                                <w:bottom w:val="none" w:sz="0" w:space="0" w:color="auto"/>
                                                <w:right w:val="none" w:sz="0" w:space="0" w:color="auto"/>
                                              </w:divBdr>
                                            </w:div>
                                            <w:div w:id="1991597703">
                                              <w:marLeft w:val="0"/>
                                              <w:marRight w:val="0"/>
                                              <w:marTop w:val="0"/>
                                              <w:marBottom w:val="0"/>
                                              <w:divBdr>
                                                <w:top w:val="none" w:sz="0" w:space="0" w:color="auto"/>
                                                <w:left w:val="none" w:sz="0" w:space="0" w:color="auto"/>
                                                <w:bottom w:val="none" w:sz="0" w:space="0" w:color="auto"/>
                                                <w:right w:val="none" w:sz="0" w:space="0" w:color="auto"/>
                                              </w:divBdr>
                                              <w:divsChild>
                                                <w:div w:id="1227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kh-h.de/fonds/lebensversicherungsfon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7520-E35D-4893-85F8-138A4A47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Andreas</dc:creator>
  <cp:lastModifiedBy>Frank, Andreas</cp:lastModifiedBy>
  <cp:revision>2</cp:revision>
  <dcterms:created xsi:type="dcterms:W3CDTF">2016-04-07T14:14:00Z</dcterms:created>
  <dcterms:modified xsi:type="dcterms:W3CDTF">2016-04-07T14:58:00Z</dcterms:modified>
</cp:coreProperties>
</file>