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8A35" w14:textId="6C9D4879"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EF0D34">
        <w:rPr>
          <w:rFonts w:ascii="Sparkasse Rg" w:eastAsia="Sparkasse Rg" w:hAnsi="Sparkasse Rg" w:cs="Sparkasse Rg"/>
          <w:sz w:val="22"/>
          <w:szCs w:val="22"/>
        </w:rPr>
        <w:t>2</w:t>
      </w:r>
      <w:r w:rsidR="00B939EC">
        <w:rPr>
          <w:rFonts w:ascii="Sparkasse Rg" w:eastAsia="Sparkasse Rg" w:hAnsi="Sparkasse Rg" w:cs="Sparkasse Rg"/>
          <w:sz w:val="22"/>
          <w:szCs w:val="22"/>
        </w:rPr>
        <w:t>3</w:t>
      </w:r>
      <w:r w:rsidR="00EF0D34">
        <w:rPr>
          <w:rFonts w:ascii="Sparkasse Rg" w:eastAsia="Sparkasse Rg" w:hAnsi="Sparkasse Rg" w:cs="Sparkasse Rg"/>
          <w:sz w:val="22"/>
          <w:szCs w:val="22"/>
        </w:rPr>
        <w:t>.10</w:t>
      </w:r>
      <w:r>
        <w:rPr>
          <w:rFonts w:ascii="Sparkasse Rg" w:eastAsia="Sparkasse Rg" w:hAnsi="Sparkasse Rg" w:cs="Sparkasse Rg"/>
          <w:sz w:val="22"/>
          <w:szCs w:val="22"/>
        </w:rPr>
        <w:t>.2020</w:t>
      </w:r>
    </w:p>
    <w:p w14:paraId="7851F416" w14:textId="77777777" w:rsidR="009116D4" w:rsidRDefault="009116D4" w:rsidP="00787DB4">
      <w:pPr>
        <w:spacing w:before="120" w:after="120" w:line="276" w:lineRule="auto"/>
        <w:ind w:right="-142"/>
        <w:rPr>
          <w:b/>
        </w:rPr>
      </w:pPr>
    </w:p>
    <w:p w14:paraId="64032119" w14:textId="0792BDD4" w:rsidR="00C70CE1" w:rsidRDefault="00EF0D34" w:rsidP="00C70CE1">
      <w:pPr>
        <w:pStyle w:val="StandardWeb"/>
        <w:shd w:val="clear" w:color="auto" w:fill="FFFFFF"/>
        <w:spacing w:line="276" w:lineRule="auto"/>
        <w:rPr>
          <w:rFonts w:ascii="Sparkasse Rg" w:eastAsia="Sparkasse Rg" w:hAnsi="Sparkasse Rg" w:cs="Sparkasse Rg"/>
          <w:b/>
          <w:sz w:val="22"/>
          <w:szCs w:val="22"/>
        </w:rPr>
      </w:pPr>
      <w:r>
        <w:rPr>
          <w:rFonts w:ascii="Sparkasse Rg" w:eastAsia="Sparkasse Rg" w:hAnsi="Sparkasse Rg" w:cs="Sparkasse Rg"/>
          <w:b/>
          <w:sz w:val="22"/>
          <w:szCs w:val="22"/>
        </w:rPr>
        <w:t xml:space="preserve">Die Filiale </w:t>
      </w:r>
      <w:proofErr w:type="spellStart"/>
      <w:r w:rsidR="00F0496D">
        <w:rPr>
          <w:rFonts w:ascii="Sparkasse Rg" w:eastAsia="Sparkasse Rg" w:hAnsi="Sparkasse Rg" w:cs="Sparkasse Rg"/>
          <w:b/>
          <w:sz w:val="22"/>
          <w:szCs w:val="22"/>
        </w:rPr>
        <w:t>Stiglmaierplatz</w:t>
      </w:r>
      <w:proofErr w:type="spellEnd"/>
      <w:r>
        <w:rPr>
          <w:rFonts w:ascii="Sparkasse Rg" w:eastAsia="Sparkasse Rg" w:hAnsi="Sparkasse Rg" w:cs="Sparkasse Rg"/>
          <w:b/>
          <w:sz w:val="22"/>
          <w:szCs w:val="22"/>
        </w:rPr>
        <w:t xml:space="preserve"> feiert ihren 100. Geburtstag</w:t>
      </w:r>
    </w:p>
    <w:p w14:paraId="60AC423D" w14:textId="5283DDB7" w:rsidR="00C70CE1" w:rsidRDefault="00C70CE1" w:rsidP="00B939EC">
      <w:pPr>
        <w:pStyle w:val="StandardWeb"/>
        <w:shd w:val="clear" w:color="auto" w:fill="FFFFFF"/>
        <w:spacing w:after="360" w:line="360" w:lineRule="auto"/>
        <w:ind w:right="283"/>
        <w:rPr>
          <w:rFonts w:ascii="Sparkasse Rg" w:hAnsi="Sparkasse Rg" w:cs="Arial"/>
          <w:color w:val="000000" w:themeColor="text1"/>
        </w:rPr>
      </w:pPr>
      <w:r w:rsidRPr="00C70CE1">
        <w:rPr>
          <w:rStyle w:val="Fett"/>
          <w:rFonts w:ascii="Sparkasse Rg" w:hAnsi="Sparkasse Rg" w:cs="Arial"/>
          <w:color w:val="000000" w:themeColor="text1"/>
        </w:rPr>
        <w:t xml:space="preserve">München (sskm). </w:t>
      </w:r>
      <w:r w:rsidR="00F0496D">
        <w:rPr>
          <w:rFonts w:ascii="Sparkasse Rg" w:hAnsi="Sparkasse Rg" w:cs="Arial"/>
          <w:color w:val="000000" w:themeColor="text1"/>
        </w:rPr>
        <w:t xml:space="preserve">Die Stadtsparkasse München betreut ihre Kunden im Umfeld rund um den </w:t>
      </w:r>
      <w:proofErr w:type="spellStart"/>
      <w:r w:rsidR="00F0496D">
        <w:rPr>
          <w:rFonts w:ascii="Sparkasse Rg" w:hAnsi="Sparkasse Rg" w:cs="Arial"/>
          <w:color w:val="000000" w:themeColor="text1"/>
        </w:rPr>
        <w:t>Stiglmaierplatz</w:t>
      </w:r>
      <w:proofErr w:type="spellEnd"/>
      <w:r w:rsidR="00F0496D">
        <w:rPr>
          <w:rFonts w:ascii="Sparkasse Rg" w:hAnsi="Sparkasse Rg" w:cs="Arial"/>
          <w:color w:val="000000" w:themeColor="text1"/>
        </w:rPr>
        <w:t xml:space="preserve"> bereits seit 100 Jahren. Filialleiterin Fadila Schluck und ihr Team freut sich in diesen Tagen deswegen ganz besonders über Kunden, die sie in dieser Zeit in der Filiale besuchen und zu diesem runden Geburtstag gratulieren. Zehn Mitarbeiter und </w:t>
      </w:r>
      <w:r w:rsidR="008E5565">
        <w:rPr>
          <w:rFonts w:ascii="Sparkasse Rg" w:hAnsi="Sparkasse Rg" w:cs="Arial"/>
          <w:color w:val="000000" w:themeColor="text1"/>
        </w:rPr>
        <w:t>sechs</w:t>
      </w:r>
      <w:r w:rsidR="00F0496D">
        <w:rPr>
          <w:rFonts w:ascii="Sparkasse Rg" w:hAnsi="Sparkasse Rg" w:cs="Arial"/>
          <w:color w:val="000000" w:themeColor="text1"/>
        </w:rPr>
        <w:t xml:space="preserve"> Azubis sind dort </w:t>
      </w:r>
      <w:r w:rsidR="008E5565">
        <w:rPr>
          <w:rFonts w:ascii="Sparkasse Rg" w:hAnsi="Sparkasse Rg" w:cs="Arial"/>
          <w:color w:val="000000" w:themeColor="text1"/>
        </w:rPr>
        <w:t xml:space="preserve">auf zwei Stockwerke verteilt </w:t>
      </w:r>
      <w:r w:rsidR="00F0496D">
        <w:rPr>
          <w:rFonts w:ascii="Sparkasse Rg" w:hAnsi="Sparkasse Rg" w:cs="Arial"/>
          <w:color w:val="000000" w:themeColor="text1"/>
        </w:rPr>
        <w:t>für alle Anliegen ihrer Kunden und deren anvertrautes Vermögen da. In sechs modernen Beratungszimmern können ungestört Kundengespräche geführt werden.</w:t>
      </w:r>
      <w:r w:rsidR="00CF1456">
        <w:rPr>
          <w:rFonts w:ascii="Sparkasse Rg" w:hAnsi="Sparkasse Rg" w:cs="Arial"/>
          <w:color w:val="000000" w:themeColor="text1"/>
        </w:rPr>
        <w:t xml:space="preserve"> Serviceterminals und Geldautomaten unterstützen dabei, Serviceanliegen bequem und einfach zu lösen.</w:t>
      </w:r>
    </w:p>
    <w:p w14:paraId="73386894" w14:textId="376AC9C6" w:rsidR="00CF1456" w:rsidRPr="00C70CE1" w:rsidRDefault="00CF1456" w:rsidP="00B939EC">
      <w:pPr>
        <w:pStyle w:val="StandardWeb"/>
        <w:shd w:val="clear" w:color="auto" w:fill="FFFFFF"/>
        <w:spacing w:after="360" w:line="360" w:lineRule="auto"/>
        <w:ind w:right="283"/>
        <w:rPr>
          <w:rFonts w:ascii="Sparkasse Rg" w:hAnsi="Sparkasse Rg" w:cs="Arial"/>
          <w:color w:val="000000" w:themeColor="text1"/>
        </w:rPr>
      </w:pPr>
      <w:r>
        <w:rPr>
          <w:rFonts w:ascii="Sparkasse Rg" w:hAnsi="Sparkasse Rg" w:cs="Arial"/>
          <w:color w:val="000000" w:themeColor="text1"/>
        </w:rPr>
        <w:t>„Wir erleben, dass Kunden in den letzten Jahren vorwiegend in die Filiale kommen, wenn sie einen Experten suchen, der ihnen bei seinen Finanzfragen hilft: Sei es, wie man sein Erspartes am besten anlegt, wie man f</w:t>
      </w:r>
      <w:bookmarkStart w:id="0" w:name="_GoBack"/>
      <w:bookmarkEnd w:id="0"/>
      <w:r>
        <w:rPr>
          <w:rFonts w:ascii="Sparkasse Rg" w:hAnsi="Sparkasse Rg" w:cs="Arial"/>
          <w:color w:val="000000" w:themeColor="text1"/>
        </w:rPr>
        <w:t xml:space="preserve">ürs Alter privat vorsorgt und zum Teil auch, </w:t>
      </w:r>
      <w:r w:rsidR="004B1394">
        <w:rPr>
          <w:rFonts w:ascii="Sparkasse Rg" w:hAnsi="Sparkasse Rg" w:cs="Arial"/>
          <w:color w:val="000000" w:themeColor="text1"/>
        </w:rPr>
        <w:t>wie man am besten eine Wohnung erwirbt und finanziert, statt nur ein Leben lang Miete zu zahlen“, erklärt Schluck die wichtigsten Kundenanliegen. Die Berater führen dazu Kundengespräche von 9 bis 18 Uhr und freitags bis 16 Uhr. „Wir sind gerne für unsere Kunden da, um ihnen zur Seite zu stehen</w:t>
      </w:r>
      <w:r w:rsidR="008E5565">
        <w:rPr>
          <w:rFonts w:ascii="Sparkasse Rg" w:hAnsi="Sparkasse Rg" w:cs="Arial"/>
          <w:color w:val="000000" w:themeColor="text1"/>
        </w:rPr>
        <w:t>.</w:t>
      </w:r>
      <w:r w:rsidR="004B1394">
        <w:rPr>
          <w:rFonts w:ascii="Sparkasse Rg" w:hAnsi="Sparkasse Rg" w:cs="Arial"/>
          <w:color w:val="000000" w:themeColor="text1"/>
        </w:rPr>
        <w:t xml:space="preserve"> </w:t>
      </w:r>
      <w:r w:rsidR="008E5565">
        <w:rPr>
          <w:rFonts w:ascii="Sparkasse Rg" w:hAnsi="Sparkasse Rg" w:cs="Arial"/>
          <w:color w:val="000000" w:themeColor="text1"/>
        </w:rPr>
        <w:t>U</w:t>
      </w:r>
      <w:r w:rsidR="004B1394">
        <w:rPr>
          <w:rFonts w:ascii="Sparkasse Rg" w:hAnsi="Sparkasse Rg" w:cs="Arial"/>
          <w:color w:val="000000" w:themeColor="text1"/>
        </w:rPr>
        <w:t xml:space="preserve">nd wenn es für unsere Kunden günstiger ist, dann </w:t>
      </w:r>
      <w:r w:rsidR="008E5565">
        <w:rPr>
          <w:rFonts w:ascii="Sparkasse Rg" w:hAnsi="Sparkasse Rg" w:cs="Arial"/>
          <w:color w:val="000000" w:themeColor="text1"/>
        </w:rPr>
        <w:t xml:space="preserve">in Absprache natürlich </w:t>
      </w:r>
      <w:r w:rsidR="004B1394">
        <w:rPr>
          <w:rFonts w:ascii="Sparkasse Rg" w:hAnsi="Sparkasse Rg" w:cs="Arial"/>
          <w:color w:val="000000" w:themeColor="text1"/>
        </w:rPr>
        <w:t xml:space="preserve">schon ganz früh am Tag </w:t>
      </w:r>
      <w:r w:rsidR="008E5565">
        <w:rPr>
          <w:rFonts w:ascii="Sparkasse Rg" w:hAnsi="Sparkasse Rg" w:cs="Arial"/>
          <w:color w:val="000000" w:themeColor="text1"/>
        </w:rPr>
        <w:t xml:space="preserve">vor 9 Uhr </w:t>
      </w:r>
      <w:r w:rsidR="004B1394">
        <w:rPr>
          <w:rFonts w:ascii="Sparkasse Rg" w:hAnsi="Sparkasse Rg" w:cs="Arial"/>
          <w:color w:val="000000" w:themeColor="text1"/>
        </w:rPr>
        <w:t>oder abends</w:t>
      </w:r>
      <w:r w:rsidR="008E5565">
        <w:rPr>
          <w:rFonts w:ascii="Sparkasse Rg" w:hAnsi="Sparkasse Rg" w:cs="Arial"/>
          <w:color w:val="000000" w:themeColor="text1"/>
        </w:rPr>
        <w:t xml:space="preserve"> nach 18 Uhr</w:t>
      </w:r>
      <w:r w:rsidR="004B1394">
        <w:rPr>
          <w:rFonts w:ascii="Sparkasse Rg" w:hAnsi="Sparkasse Rg" w:cs="Arial"/>
          <w:color w:val="000000" w:themeColor="text1"/>
        </w:rPr>
        <w:t xml:space="preserve">“, </w:t>
      </w:r>
      <w:r w:rsidR="008E5565">
        <w:rPr>
          <w:rFonts w:ascii="Sparkasse Rg" w:hAnsi="Sparkasse Rg" w:cs="Arial"/>
          <w:color w:val="000000" w:themeColor="text1"/>
        </w:rPr>
        <w:t>verspricht die Filialleiterin.</w:t>
      </w:r>
    </w:p>
    <w:p w14:paraId="158A11A3" w14:textId="77777777"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14:paraId="039CF6DA" w14:textId="139DCF36"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B939EC">
      <w:headerReference w:type="default" r:id="rId8"/>
      <w:footerReference w:type="default" r:id="rId9"/>
      <w:footerReference w:type="first" r:id="rId10"/>
      <w:pgSz w:w="11906" w:h="16838"/>
      <w:pgMar w:top="1843" w:right="1416" w:bottom="1276"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146"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147"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61E49840"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C70CE1">
      <w:rPr>
        <w:color w:val="000000" w:themeColor="text1"/>
        <w:sz w:val="14"/>
        <w:szCs w:val="14"/>
      </w:rPr>
      <w:t>2</w:t>
    </w:r>
    <w:r w:rsidR="00B939EC">
      <w:rPr>
        <w:color w:val="000000" w:themeColor="text1"/>
        <w:sz w:val="14"/>
        <w:szCs w:val="14"/>
      </w:rPr>
      <w:t>3</w:t>
    </w:r>
    <w:r w:rsidR="00384A69">
      <w:rPr>
        <w:color w:val="000000" w:themeColor="text1"/>
        <w:sz w:val="14"/>
        <w:szCs w:val="14"/>
      </w:rPr>
      <w:t>.</w:t>
    </w:r>
    <w:r w:rsidR="00B939EC">
      <w:rPr>
        <w:color w:val="000000" w:themeColor="text1"/>
        <w:sz w:val="14"/>
        <w:szCs w:val="14"/>
      </w:rPr>
      <w:t>10</w:t>
    </w:r>
    <w:r w:rsidR="002D6BB4">
      <w:rPr>
        <w:color w:val="000000" w:themeColor="text1"/>
        <w:sz w:val="14"/>
        <w:szCs w:val="14"/>
      </w:rPr>
      <w:t>.2020</w:t>
    </w:r>
  </w:p>
  <w:p w14:paraId="640E123F" w14:textId="08422DAC"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B939EC">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B939EC">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145"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338E"/>
    <w:rsid w:val="00346ACF"/>
    <w:rsid w:val="00352DA7"/>
    <w:rsid w:val="003530C6"/>
    <w:rsid w:val="003555C8"/>
    <w:rsid w:val="00360138"/>
    <w:rsid w:val="003602C4"/>
    <w:rsid w:val="00365DE4"/>
    <w:rsid w:val="003666C8"/>
    <w:rsid w:val="003717BA"/>
    <w:rsid w:val="00372248"/>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5F03"/>
    <w:rsid w:val="004061A9"/>
    <w:rsid w:val="00411A76"/>
    <w:rsid w:val="00412DEB"/>
    <w:rsid w:val="00413453"/>
    <w:rsid w:val="00413A0E"/>
    <w:rsid w:val="00413E54"/>
    <w:rsid w:val="00420D3D"/>
    <w:rsid w:val="00421D91"/>
    <w:rsid w:val="00422389"/>
    <w:rsid w:val="004259AD"/>
    <w:rsid w:val="00431540"/>
    <w:rsid w:val="00434746"/>
    <w:rsid w:val="00442E5D"/>
    <w:rsid w:val="00443FC1"/>
    <w:rsid w:val="00444E18"/>
    <w:rsid w:val="00451D8F"/>
    <w:rsid w:val="00455FBB"/>
    <w:rsid w:val="0045645E"/>
    <w:rsid w:val="00460348"/>
    <w:rsid w:val="004610F4"/>
    <w:rsid w:val="00462355"/>
    <w:rsid w:val="00467189"/>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19E7"/>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42D10"/>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39EC"/>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9D50-6C3D-49F8-9556-01113537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2</cp:revision>
  <cp:lastPrinted>2020-07-15T14:26:00Z</cp:lastPrinted>
  <dcterms:created xsi:type="dcterms:W3CDTF">2020-10-23T06:13:00Z</dcterms:created>
  <dcterms:modified xsi:type="dcterms:W3CDTF">2020-10-23T06:13:00Z</dcterms:modified>
</cp:coreProperties>
</file>