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918" w:rsidRPr="00691154" w:rsidRDefault="000F041B">
      <w:pPr>
        <w:rPr>
          <w:rFonts w:asciiTheme="majorHAnsi" w:hAnsiTheme="majorHAnsi" w:cstheme="majorHAnsi"/>
          <w:i/>
          <w:lang w:val="da-DK"/>
        </w:rPr>
      </w:pPr>
      <w:r w:rsidRPr="00691154">
        <w:rPr>
          <w:rFonts w:asciiTheme="majorHAnsi" w:hAnsiTheme="majorHAnsi" w:cstheme="majorHAnsi"/>
          <w:i/>
          <w:lang w:val="da-DK"/>
        </w:rPr>
        <w:t>Pressemeddelelse den 20. maj 2020</w:t>
      </w:r>
    </w:p>
    <w:p w:rsidR="00B25918" w:rsidRPr="00691154" w:rsidRDefault="00B25918">
      <w:pPr>
        <w:rPr>
          <w:rFonts w:asciiTheme="majorHAnsi" w:hAnsiTheme="majorHAnsi" w:cstheme="majorHAnsi"/>
          <w:i/>
          <w:lang w:val="da-DK"/>
        </w:rPr>
      </w:pPr>
    </w:p>
    <w:p w:rsidR="00B25918" w:rsidRPr="00691154" w:rsidRDefault="000F041B">
      <w:pPr>
        <w:rPr>
          <w:rFonts w:asciiTheme="majorHAnsi" w:hAnsiTheme="majorHAnsi" w:cstheme="majorHAnsi"/>
          <w:b/>
          <w:sz w:val="28"/>
          <w:szCs w:val="28"/>
          <w:lang w:val="da-DK"/>
        </w:rPr>
      </w:pPr>
      <w:r w:rsidRPr="00691154">
        <w:rPr>
          <w:rFonts w:asciiTheme="majorHAnsi" w:hAnsiTheme="majorHAnsi" w:cstheme="majorHAnsi"/>
          <w:b/>
          <w:sz w:val="28"/>
          <w:szCs w:val="28"/>
          <w:lang w:val="da-DK"/>
        </w:rPr>
        <w:t>Stærkt fokus på nye softwareløsninger kan ses på bundlinjen</w:t>
      </w:r>
    </w:p>
    <w:p w:rsidR="00B25918" w:rsidRPr="00691154" w:rsidRDefault="000F041B">
      <w:pPr>
        <w:rPr>
          <w:rFonts w:asciiTheme="majorHAnsi" w:hAnsiTheme="majorHAnsi" w:cstheme="majorHAnsi"/>
          <w:lang w:val="da-DK"/>
        </w:rPr>
      </w:pPr>
      <w:r w:rsidRPr="00691154">
        <w:rPr>
          <w:rFonts w:asciiTheme="majorHAnsi" w:hAnsiTheme="majorHAnsi" w:cstheme="majorHAnsi"/>
          <w:lang w:val="da-DK"/>
        </w:rPr>
        <w:t xml:space="preserve"> </w:t>
      </w:r>
    </w:p>
    <w:p w:rsidR="00B25918" w:rsidRPr="000F041B" w:rsidRDefault="000F041B">
      <w:pPr>
        <w:rPr>
          <w:rFonts w:asciiTheme="majorHAnsi" w:hAnsiTheme="majorHAnsi" w:cstheme="majorHAnsi"/>
          <w:b/>
          <w:sz w:val="24"/>
          <w:szCs w:val="24"/>
          <w:lang w:val="da-DK"/>
        </w:rPr>
      </w:pPr>
      <w:r w:rsidRPr="000F041B">
        <w:rPr>
          <w:rFonts w:asciiTheme="majorHAnsi" w:hAnsiTheme="majorHAnsi" w:cstheme="majorHAnsi"/>
          <w:b/>
          <w:sz w:val="24"/>
          <w:szCs w:val="24"/>
          <w:lang w:val="da-DK"/>
        </w:rPr>
        <w:t xml:space="preserve">Softwarevirksomheden </w:t>
      </w:r>
      <w:proofErr w:type="spellStart"/>
      <w:r w:rsidRPr="000F041B">
        <w:rPr>
          <w:rFonts w:asciiTheme="majorHAnsi" w:hAnsiTheme="majorHAnsi" w:cstheme="majorHAnsi"/>
          <w:b/>
          <w:sz w:val="24"/>
          <w:szCs w:val="24"/>
          <w:lang w:val="da-DK"/>
        </w:rPr>
        <w:t>Visma</w:t>
      </w:r>
      <w:proofErr w:type="spellEnd"/>
      <w:r w:rsidRPr="000F041B">
        <w:rPr>
          <w:rFonts w:asciiTheme="majorHAnsi" w:hAnsiTheme="majorHAnsi" w:cstheme="majorHAnsi"/>
          <w:b/>
          <w:sz w:val="24"/>
          <w:szCs w:val="24"/>
          <w:lang w:val="da-DK"/>
        </w:rPr>
        <w:t xml:space="preserve"> Enterprise A/S har netop offentliggjort sit første selvstændige årsregnskab efter fissionen fra søsterselskabet, </w:t>
      </w:r>
      <w:proofErr w:type="spellStart"/>
      <w:r w:rsidRPr="000F041B">
        <w:rPr>
          <w:rFonts w:asciiTheme="majorHAnsi" w:hAnsiTheme="majorHAnsi" w:cstheme="majorHAnsi"/>
          <w:b/>
          <w:sz w:val="24"/>
          <w:szCs w:val="24"/>
          <w:lang w:val="da-DK"/>
        </w:rPr>
        <w:t>Visma</w:t>
      </w:r>
      <w:proofErr w:type="spellEnd"/>
      <w:r w:rsidRPr="000F041B">
        <w:rPr>
          <w:rFonts w:asciiTheme="majorHAnsi" w:hAnsiTheme="majorHAnsi" w:cstheme="majorHAnsi"/>
          <w:b/>
          <w:sz w:val="24"/>
          <w:szCs w:val="24"/>
          <w:lang w:val="da-DK"/>
        </w:rPr>
        <w:t xml:space="preserve"> Dataløn, tilbage i januar 2019. Hvor virksomheden i 2018 brugte mange ressourcer på at konsolidere sig og skær</w:t>
      </w:r>
      <w:r w:rsidRPr="000F041B">
        <w:rPr>
          <w:rFonts w:asciiTheme="majorHAnsi" w:hAnsiTheme="majorHAnsi" w:cstheme="majorHAnsi"/>
          <w:b/>
          <w:sz w:val="24"/>
          <w:szCs w:val="24"/>
          <w:lang w:val="da-DK"/>
        </w:rPr>
        <w:t xml:space="preserve">e ikke-rentable forretninger fra, har man i 2019 fokuseret på investering og udvikling i nye forretningsløsninger. En strategi </w:t>
      </w:r>
      <w:bookmarkStart w:id="0" w:name="_GoBack"/>
      <w:bookmarkEnd w:id="0"/>
      <w:r w:rsidRPr="000F041B">
        <w:rPr>
          <w:rFonts w:asciiTheme="majorHAnsi" w:hAnsiTheme="majorHAnsi" w:cstheme="majorHAnsi"/>
          <w:b/>
          <w:sz w:val="24"/>
          <w:szCs w:val="24"/>
          <w:lang w:val="da-DK"/>
        </w:rPr>
        <w:t xml:space="preserve">som </w:t>
      </w:r>
      <w:r w:rsidR="0089133A" w:rsidRPr="000F041B">
        <w:rPr>
          <w:rFonts w:asciiTheme="majorHAnsi" w:hAnsiTheme="majorHAnsi" w:cstheme="majorHAnsi"/>
          <w:b/>
          <w:sz w:val="24"/>
          <w:szCs w:val="24"/>
          <w:lang w:val="da-DK"/>
        </w:rPr>
        <w:t xml:space="preserve">afspejler sig positivt i årets resultat.  </w:t>
      </w:r>
      <w:r w:rsidRPr="000F041B">
        <w:rPr>
          <w:rFonts w:asciiTheme="majorHAnsi" w:hAnsiTheme="majorHAnsi" w:cstheme="majorHAnsi"/>
          <w:b/>
          <w:sz w:val="24"/>
          <w:szCs w:val="24"/>
          <w:lang w:val="da-DK"/>
        </w:rPr>
        <w:t xml:space="preserve"> </w:t>
      </w:r>
    </w:p>
    <w:p w:rsidR="00B25918" w:rsidRPr="00691154" w:rsidRDefault="000F041B">
      <w:pPr>
        <w:rPr>
          <w:rFonts w:asciiTheme="majorHAnsi" w:hAnsiTheme="majorHAnsi" w:cstheme="majorHAnsi"/>
          <w:lang w:val="da-DK"/>
        </w:rPr>
      </w:pPr>
      <w:r w:rsidRPr="00691154">
        <w:rPr>
          <w:rFonts w:asciiTheme="majorHAnsi" w:hAnsiTheme="majorHAnsi" w:cstheme="majorHAnsi"/>
          <w:lang w:val="da-DK"/>
        </w:rPr>
        <w:t xml:space="preserve"> </w:t>
      </w:r>
    </w:p>
    <w:p w:rsidR="00B25918" w:rsidRPr="00691154" w:rsidRDefault="000F041B">
      <w:pPr>
        <w:rPr>
          <w:rFonts w:asciiTheme="majorHAnsi" w:hAnsiTheme="majorHAnsi" w:cstheme="majorHAnsi"/>
          <w:lang w:val="da-DK"/>
        </w:rPr>
      </w:pPr>
      <w:r w:rsidRPr="00691154">
        <w:rPr>
          <w:rFonts w:asciiTheme="majorHAnsi" w:hAnsiTheme="majorHAnsi" w:cstheme="majorHAnsi"/>
          <w:lang w:val="da-DK"/>
        </w:rPr>
        <w:t>En omsætning på 191 mio. kr.</w:t>
      </w:r>
      <w:r w:rsidR="00283AEF" w:rsidRPr="00691154">
        <w:rPr>
          <w:rFonts w:asciiTheme="majorHAnsi" w:hAnsiTheme="majorHAnsi" w:cstheme="majorHAnsi"/>
          <w:lang w:val="da-DK"/>
        </w:rPr>
        <w:t xml:space="preserve">, </w:t>
      </w:r>
      <w:r w:rsidRPr="00691154">
        <w:rPr>
          <w:rFonts w:asciiTheme="majorHAnsi" w:hAnsiTheme="majorHAnsi" w:cstheme="majorHAnsi"/>
          <w:lang w:val="da-DK"/>
        </w:rPr>
        <w:t xml:space="preserve">en vækst på 6 % </w:t>
      </w:r>
      <w:r w:rsidR="0089133A" w:rsidRPr="00691154">
        <w:rPr>
          <w:rFonts w:asciiTheme="majorHAnsi" w:hAnsiTheme="majorHAnsi" w:cstheme="majorHAnsi"/>
          <w:lang w:val="da-DK"/>
        </w:rPr>
        <w:t xml:space="preserve">samt en positiv bundlinje </w:t>
      </w:r>
      <w:r w:rsidRPr="00691154">
        <w:rPr>
          <w:rFonts w:asciiTheme="majorHAnsi" w:hAnsiTheme="majorHAnsi" w:cstheme="majorHAnsi"/>
          <w:lang w:val="da-DK"/>
        </w:rPr>
        <w:t>udløser både stor tilfr</w:t>
      </w:r>
      <w:r w:rsidRPr="00691154">
        <w:rPr>
          <w:rFonts w:asciiTheme="majorHAnsi" w:hAnsiTheme="majorHAnsi" w:cstheme="majorHAnsi"/>
          <w:lang w:val="da-DK"/>
        </w:rPr>
        <w:t>edshed og optimisme hos adm. direktør</w:t>
      </w:r>
      <w:r w:rsidR="0089133A" w:rsidRPr="00691154">
        <w:rPr>
          <w:rFonts w:asciiTheme="majorHAnsi" w:hAnsiTheme="majorHAnsi" w:cstheme="majorHAnsi"/>
          <w:lang w:val="da-DK"/>
        </w:rPr>
        <w:t xml:space="preserve"> for </w:t>
      </w:r>
      <w:proofErr w:type="spellStart"/>
      <w:r w:rsidR="0089133A" w:rsidRPr="00691154">
        <w:rPr>
          <w:rFonts w:asciiTheme="majorHAnsi" w:hAnsiTheme="majorHAnsi" w:cstheme="majorHAnsi"/>
          <w:lang w:val="da-DK"/>
        </w:rPr>
        <w:t>Visma</w:t>
      </w:r>
      <w:proofErr w:type="spellEnd"/>
      <w:r w:rsidR="0089133A" w:rsidRPr="00691154">
        <w:rPr>
          <w:rFonts w:asciiTheme="majorHAnsi" w:hAnsiTheme="majorHAnsi" w:cstheme="majorHAnsi"/>
          <w:lang w:val="da-DK"/>
        </w:rPr>
        <w:t xml:space="preserve"> Enterprise</w:t>
      </w:r>
      <w:r w:rsidRPr="00691154">
        <w:rPr>
          <w:rFonts w:asciiTheme="majorHAnsi" w:hAnsiTheme="majorHAnsi" w:cstheme="majorHAnsi"/>
          <w:lang w:val="da-DK"/>
        </w:rPr>
        <w:t>, Monika Juul Henriksen.</w:t>
      </w:r>
    </w:p>
    <w:p w:rsidR="00B25918" w:rsidRPr="00691154" w:rsidRDefault="000F041B">
      <w:pPr>
        <w:rPr>
          <w:rFonts w:asciiTheme="majorHAnsi" w:hAnsiTheme="majorHAnsi" w:cstheme="majorHAnsi"/>
          <w:lang w:val="da-DK"/>
        </w:rPr>
      </w:pPr>
      <w:r w:rsidRPr="00691154">
        <w:rPr>
          <w:rFonts w:asciiTheme="majorHAnsi" w:hAnsiTheme="majorHAnsi" w:cstheme="majorHAnsi"/>
          <w:lang w:val="da-DK"/>
        </w:rPr>
        <w:t xml:space="preserve"> </w:t>
      </w:r>
    </w:p>
    <w:p w:rsidR="00B25918" w:rsidRPr="00691154" w:rsidRDefault="000F041B">
      <w:pPr>
        <w:rPr>
          <w:rFonts w:asciiTheme="majorHAnsi" w:hAnsiTheme="majorHAnsi" w:cstheme="majorHAnsi"/>
          <w:lang w:val="da-DK"/>
        </w:rPr>
      </w:pPr>
      <w:r w:rsidRPr="00691154">
        <w:rPr>
          <w:rFonts w:asciiTheme="majorHAnsi" w:hAnsiTheme="majorHAnsi" w:cstheme="majorHAnsi"/>
          <w:i/>
          <w:lang w:val="da-DK"/>
        </w:rPr>
        <w:t xml:space="preserve">”Jeg er meget tilfreds med årets resultat, som </w:t>
      </w:r>
      <w:r w:rsidR="00283AEF" w:rsidRPr="00691154">
        <w:rPr>
          <w:rFonts w:asciiTheme="majorHAnsi" w:hAnsiTheme="majorHAnsi" w:cstheme="majorHAnsi"/>
          <w:i/>
          <w:lang w:val="da-DK"/>
        </w:rPr>
        <w:t xml:space="preserve">også </w:t>
      </w:r>
      <w:r w:rsidRPr="00691154">
        <w:rPr>
          <w:rFonts w:asciiTheme="majorHAnsi" w:hAnsiTheme="majorHAnsi" w:cstheme="majorHAnsi"/>
          <w:i/>
          <w:lang w:val="da-DK"/>
        </w:rPr>
        <w:t xml:space="preserve">sikrer os et godt fundament for yderligere vækst. Implementeringen af vores nye strategi har givet os et stærkere fokus på det, vi er bedst til. </w:t>
      </w:r>
      <w:r w:rsidRPr="00691154">
        <w:rPr>
          <w:rFonts w:asciiTheme="majorHAnsi" w:hAnsiTheme="majorHAnsi" w:cstheme="majorHAnsi"/>
          <w:i/>
          <w:lang w:val="da-DK"/>
        </w:rPr>
        <w:t xml:space="preserve">Vi har udviklet os fra at være et </w:t>
      </w:r>
      <w:proofErr w:type="spellStart"/>
      <w:r w:rsidRPr="00691154">
        <w:rPr>
          <w:rFonts w:asciiTheme="majorHAnsi" w:hAnsiTheme="majorHAnsi" w:cstheme="majorHAnsi"/>
          <w:i/>
          <w:lang w:val="da-DK"/>
        </w:rPr>
        <w:t>lønhus</w:t>
      </w:r>
      <w:proofErr w:type="spellEnd"/>
      <w:r w:rsidRPr="00691154">
        <w:rPr>
          <w:rFonts w:asciiTheme="majorHAnsi" w:hAnsiTheme="majorHAnsi" w:cstheme="majorHAnsi"/>
          <w:i/>
          <w:lang w:val="da-DK"/>
        </w:rPr>
        <w:t xml:space="preserve"> til i dag at være softwareleverandør og HR-partner. Det betyder, at vi er gået fra udelukkende at have </w:t>
      </w:r>
      <w:r w:rsidRPr="00691154">
        <w:rPr>
          <w:rFonts w:asciiTheme="majorHAnsi" w:hAnsiTheme="majorHAnsi" w:cstheme="majorHAnsi"/>
          <w:i/>
          <w:lang w:val="da-DK"/>
        </w:rPr>
        <w:t>en forretningsmodel, der fokuserede på lønsystemer til i dag at være en af de største udbydere af softwarel</w:t>
      </w:r>
      <w:r w:rsidRPr="00691154">
        <w:rPr>
          <w:rFonts w:asciiTheme="majorHAnsi" w:hAnsiTheme="majorHAnsi" w:cstheme="majorHAnsi"/>
          <w:i/>
          <w:lang w:val="da-DK"/>
        </w:rPr>
        <w:t>øsninger inden for HRM-markedet”</w:t>
      </w:r>
      <w:r w:rsidRPr="00691154">
        <w:rPr>
          <w:rFonts w:asciiTheme="majorHAnsi" w:hAnsiTheme="majorHAnsi" w:cstheme="majorHAnsi"/>
          <w:lang w:val="da-DK"/>
        </w:rPr>
        <w:t>, udtaler Monika Juul Henriksen.</w:t>
      </w:r>
    </w:p>
    <w:p w:rsidR="00B25918" w:rsidRPr="00691154" w:rsidRDefault="000F041B">
      <w:pPr>
        <w:rPr>
          <w:rFonts w:asciiTheme="majorHAnsi" w:hAnsiTheme="majorHAnsi" w:cstheme="majorHAnsi"/>
          <w:lang w:val="da-DK"/>
        </w:rPr>
      </w:pPr>
      <w:r w:rsidRPr="00691154">
        <w:rPr>
          <w:rFonts w:asciiTheme="majorHAnsi" w:hAnsiTheme="majorHAnsi" w:cstheme="majorHAnsi"/>
          <w:lang w:val="da-DK"/>
        </w:rPr>
        <w:t xml:space="preserve"> </w:t>
      </w:r>
    </w:p>
    <w:p w:rsidR="00B25918" w:rsidRPr="00691154" w:rsidRDefault="000F041B">
      <w:pPr>
        <w:rPr>
          <w:rFonts w:asciiTheme="majorHAnsi" w:hAnsiTheme="majorHAnsi" w:cstheme="majorHAnsi"/>
          <w:lang w:val="da-DK"/>
        </w:rPr>
      </w:pPr>
      <w:r w:rsidRPr="00691154">
        <w:rPr>
          <w:rFonts w:asciiTheme="majorHAnsi" w:hAnsiTheme="majorHAnsi" w:cstheme="majorHAnsi"/>
          <w:lang w:val="da-DK"/>
        </w:rPr>
        <w:t xml:space="preserve">Det er netop forretningskritiske samt strategisk smarte løsninger og et ufravigeligt fokus på at sikre optimal IT-sikkerhed og </w:t>
      </w:r>
      <w:proofErr w:type="spellStart"/>
      <w:r w:rsidRPr="00691154">
        <w:rPr>
          <w:rFonts w:asciiTheme="majorHAnsi" w:hAnsiTheme="majorHAnsi" w:cstheme="majorHAnsi"/>
          <w:lang w:val="da-DK"/>
        </w:rPr>
        <w:t>compliance</w:t>
      </w:r>
      <w:proofErr w:type="spellEnd"/>
      <w:r w:rsidRPr="00691154">
        <w:rPr>
          <w:rFonts w:asciiTheme="majorHAnsi" w:hAnsiTheme="majorHAnsi" w:cstheme="majorHAnsi"/>
          <w:lang w:val="da-DK"/>
        </w:rPr>
        <w:t xml:space="preserve">, der har præget </w:t>
      </w:r>
      <w:proofErr w:type="spellStart"/>
      <w:r w:rsidRPr="00691154">
        <w:rPr>
          <w:rFonts w:asciiTheme="majorHAnsi" w:hAnsiTheme="majorHAnsi" w:cstheme="majorHAnsi"/>
          <w:lang w:val="da-DK"/>
        </w:rPr>
        <w:t>Visma</w:t>
      </w:r>
      <w:proofErr w:type="spellEnd"/>
      <w:r w:rsidRPr="00691154">
        <w:rPr>
          <w:rFonts w:asciiTheme="majorHAnsi" w:hAnsiTheme="majorHAnsi" w:cstheme="majorHAnsi"/>
          <w:lang w:val="da-DK"/>
        </w:rPr>
        <w:t xml:space="preserve"> Enterprises investeringer og </w:t>
      </w:r>
      <w:r w:rsidRPr="00691154">
        <w:rPr>
          <w:rFonts w:asciiTheme="majorHAnsi" w:hAnsiTheme="majorHAnsi" w:cstheme="majorHAnsi"/>
          <w:lang w:val="da-DK"/>
        </w:rPr>
        <w:t>tiltag i 2019.</w:t>
      </w:r>
    </w:p>
    <w:p w:rsidR="00B25918" w:rsidRPr="00691154" w:rsidRDefault="000F041B">
      <w:pPr>
        <w:rPr>
          <w:rFonts w:asciiTheme="majorHAnsi" w:hAnsiTheme="majorHAnsi" w:cstheme="majorHAnsi"/>
          <w:lang w:val="da-DK"/>
        </w:rPr>
      </w:pPr>
      <w:r w:rsidRPr="00691154">
        <w:rPr>
          <w:rFonts w:asciiTheme="majorHAnsi" w:hAnsiTheme="majorHAnsi" w:cstheme="majorHAnsi"/>
          <w:lang w:val="da-DK"/>
        </w:rPr>
        <w:t xml:space="preserve"> </w:t>
      </w:r>
    </w:p>
    <w:p w:rsidR="00B25918" w:rsidRPr="00691154" w:rsidRDefault="000F041B">
      <w:pPr>
        <w:rPr>
          <w:rFonts w:asciiTheme="majorHAnsi" w:hAnsiTheme="majorHAnsi" w:cstheme="majorHAnsi"/>
          <w:lang w:val="da-DK"/>
        </w:rPr>
      </w:pPr>
      <w:r w:rsidRPr="00691154">
        <w:rPr>
          <w:rFonts w:asciiTheme="majorHAnsi" w:hAnsiTheme="majorHAnsi" w:cstheme="majorHAnsi"/>
          <w:i/>
          <w:lang w:val="da-DK"/>
        </w:rPr>
        <w:t xml:space="preserve">”Vi skal konstant være attraktive for vores kunder. Derfor tog vi sidste år et strategisk valg om at investere et tocifret millionbeløb i den anerkendte ISO/IEC-27001 certificering. Vi oplever, at markedet og kunderne efterspørger </w:t>
      </w:r>
      <w:r w:rsidR="0089133A" w:rsidRPr="00691154">
        <w:rPr>
          <w:rFonts w:asciiTheme="majorHAnsi" w:hAnsiTheme="majorHAnsi" w:cstheme="majorHAnsi"/>
          <w:i/>
          <w:lang w:val="da-DK"/>
        </w:rPr>
        <w:t xml:space="preserve">sikre </w:t>
      </w:r>
      <w:r w:rsidRPr="00691154">
        <w:rPr>
          <w:rFonts w:asciiTheme="majorHAnsi" w:hAnsiTheme="majorHAnsi" w:cstheme="majorHAnsi"/>
          <w:i/>
          <w:lang w:val="da-DK"/>
        </w:rPr>
        <w:t>løsninge</w:t>
      </w:r>
      <w:r w:rsidRPr="00691154">
        <w:rPr>
          <w:rFonts w:asciiTheme="majorHAnsi" w:hAnsiTheme="majorHAnsi" w:cstheme="majorHAnsi"/>
          <w:i/>
          <w:lang w:val="da-DK"/>
        </w:rPr>
        <w:t>r og systemer,</w:t>
      </w:r>
      <w:r w:rsidR="0089133A" w:rsidRPr="00691154">
        <w:rPr>
          <w:rFonts w:asciiTheme="majorHAnsi" w:hAnsiTheme="majorHAnsi" w:cstheme="majorHAnsi"/>
          <w:i/>
          <w:lang w:val="da-DK"/>
        </w:rPr>
        <w:t xml:space="preserve"> som</w:t>
      </w:r>
      <w:r w:rsidRPr="00691154">
        <w:rPr>
          <w:rFonts w:asciiTheme="majorHAnsi" w:hAnsiTheme="majorHAnsi" w:cstheme="majorHAnsi"/>
          <w:i/>
          <w:lang w:val="da-DK"/>
        </w:rPr>
        <w:t xml:space="preserve"> </w:t>
      </w:r>
      <w:r w:rsidR="0089133A" w:rsidRPr="00691154">
        <w:rPr>
          <w:rFonts w:asciiTheme="majorHAnsi" w:hAnsiTheme="majorHAnsi" w:cstheme="majorHAnsi"/>
          <w:i/>
          <w:lang w:val="da-DK"/>
        </w:rPr>
        <w:t>er</w:t>
      </w:r>
      <w:r w:rsidRPr="00691154">
        <w:rPr>
          <w:rFonts w:asciiTheme="majorHAnsi" w:hAnsiTheme="majorHAnsi" w:cstheme="majorHAnsi"/>
          <w:i/>
          <w:lang w:val="da-DK"/>
        </w:rPr>
        <w:t xml:space="preserve"> 100% </w:t>
      </w:r>
      <w:proofErr w:type="spellStart"/>
      <w:r w:rsidRPr="00691154">
        <w:rPr>
          <w:rFonts w:asciiTheme="majorHAnsi" w:hAnsiTheme="majorHAnsi" w:cstheme="majorHAnsi"/>
          <w:i/>
          <w:lang w:val="da-DK"/>
        </w:rPr>
        <w:t>compliant</w:t>
      </w:r>
      <w:proofErr w:type="spellEnd"/>
      <w:r w:rsidRPr="00691154">
        <w:rPr>
          <w:rFonts w:asciiTheme="majorHAnsi" w:hAnsiTheme="majorHAnsi" w:cstheme="majorHAnsi"/>
          <w:i/>
          <w:lang w:val="da-DK"/>
        </w:rPr>
        <w:t xml:space="preserve">. </w:t>
      </w:r>
      <w:r w:rsidR="0089133A" w:rsidRPr="00691154">
        <w:rPr>
          <w:rFonts w:asciiTheme="majorHAnsi" w:hAnsiTheme="majorHAnsi" w:cstheme="majorHAnsi"/>
          <w:i/>
          <w:lang w:val="da-DK"/>
        </w:rPr>
        <w:t xml:space="preserve">Det, at vi </w:t>
      </w:r>
      <w:r w:rsidRPr="00691154">
        <w:rPr>
          <w:rFonts w:asciiTheme="majorHAnsi" w:hAnsiTheme="majorHAnsi" w:cstheme="majorHAnsi"/>
          <w:i/>
          <w:lang w:val="da-DK"/>
        </w:rPr>
        <w:t xml:space="preserve">nu </w:t>
      </w:r>
      <w:r w:rsidR="0089133A" w:rsidRPr="00691154">
        <w:rPr>
          <w:rFonts w:asciiTheme="majorHAnsi" w:hAnsiTheme="majorHAnsi" w:cstheme="majorHAnsi"/>
          <w:i/>
          <w:lang w:val="da-DK"/>
        </w:rPr>
        <w:t xml:space="preserve">har </w:t>
      </w:r>
      <w:r w:rsidRPr="00691154">
        <w:rPr>
          <w:rFonts w:asciiTheme="majorHAnsi" w:hAnsiTheme="majorHAnsi" w:cstheme="majorHAnsi"/>
          <w:i/>
          <w:lang w:val="da-DK"/>
        </w:rPr>
        <w:t xml:space="preserve">papir på, at vi lever op til en høj sikkerhedsstandard, </w:t>
      </w:r>
      <w:r w:rsidRPr="00691154">
        <w:rPr>
          <w:rFonts w:asciiTheme="majorHAnsi" w:hAnsiTheme="majorHAnsi" w:cstheme="majorHAnsi"/>
          <w:i/>
          <w:lang w:val="da-DK"/>
        </w:rPr>
        <w:t>gør os til en endnu mere attraktiv samarbejdspartner. Med ISO-certificeringen kan vi hurtigt dokumentere fastlagte processer og procedu</w:t>
      </w:r>
      <w:r w:rsidRPr="00691154">
        <w:rPr>
          <w:rFonts w:asciiTheme="majorHAnsi" w:hAnsiTheme="majorHAnsi" w:cstheme="majorHAnsi"/>
          <w:i/>
          <w:lang w:val="da-DK"/>
        </w:rPr>
        <w:t>rer, der sikrer korrekt håndtering af datasikkerhed”</w:t>
      </w:r>
      <w:r w:rsidRPr="00691154">
        <w:rPr>
          <w:rFonts w:asciiTheme="majorHAnsi" w:hAnsiTheme="majorHAnsi" w:cstheme="majorHAnsi"/>
          <w:lang w:val="da-DK"/>
        </w:rPr>
        <w:t>, forklarer Monika Juul Henriksen og fortsætter:</w:t>
      </w:r>
    </w:p>
    <w:p w:rsidR="00B25918" w:rsidRPr="00691154" w:rsidRDefault="000F041B">
      <w:pPr>
        <w:rPr>
          <w:rFonts w:asciiTheme="majorHAnsi" w:hAnsiTheme="majorHAnsi" w:cstheme="majorHAnsi"/>
          <w:lang w:val="da-DK"/>
        </w:rPr>
      </w:pPr>
      <w:r w:rsidRPr="00691154">
        <w:rPr>
          <w:rFonts w:asciiTheme="majorHAnsi" w:hAnsiTheme="majorHAnsi" w:cstheme="majorHAnsi"/>
          <w:lang w:val="da-DK"/>
        </w:rPr>
        <w:t xml:space="preserve"> </w:t>
      </w:r>
    </w:p>
    <w:p w:rsidR="00B25918" w:rsidRPr="00691154" w:rsidRDefault="000F041B">
      <w:pPr>
        <w:rPr>
          <w:rFonts w:asciiTheme="majorHAnsi" w:hAnsiTheme="majorHAnsi" w:cstheme="majorHAnsi"/>
          <w:lang w:val="da-DK"/>
        </w:rPr>
      </w:pPr>
      <w:r w:rsidRPr="00691154">
        <w:rPr>
          <w:rFonts w:asciiTheme="majorHAnsi" w:hAnsiTheme="majorHAnsi" w:cstheme="majorHAnsi"/>
          <w:i/>
          <w:lang w:val="da-DK"/>
        </w:rPr>
        <w:t xml:space="preserve">”Vi tilbyder transparente og overskuelige IT-løsninger, der er så tæt på </w:t>
      </w:r>
      <w:proofErr w:type="spellStart"/>
      <w:r w:rsidRPr="00691154">
        <w:rPr>
          <w:rFonts w:asciiTheme="majorHAnsi" w:hAnsiTheme="majorHAnsi" w:cstheme="majorHAnsi"/>
          <w:i/>
          <w:lang w:val="da-DK"/>
        </w:rPr>
        <w:t>plug</w:t>
      </w:r>
      <w:proofErr w:type="spellEnd"/>
      <w:r w:rsidRPr="00691154">
        <w:rPr>
          <w:rFonts w:asciiTheme="majorHAnsi" w:hAnsiTheme="majorHAnsi" w:cstheme="majorHAnsi"/>
          <w:i/>
          <w:lang w:val="da-DK"/>
        </w:rPr>
        <w:t>-n-</w:t>
      </w:r>
      <w:proofErr w:type="spellStart"/>
      <w:r w:rsidRPr="00691154">
        <w:rPr>
          <w:rFonts w:asciiTheme="majorHAnsi" w:hAnsiTheme="majorHAnsi" w:cstheme="majorHAnsi"/>
          <w:i/>
          <w:lang w:val="da-DK"/>
        </w:rPr>
        <w:t>play</w:t>
      </w:r>
      <w:proofErr w:type="spellEnd"/>
      <w:r w:rsidRPr="00691154">
        <w:rPr>
          <w:rFonts w:asciiTheme="majorHAnsi" w:hAnsiTheme="majorHAnsi" w:cstheme="majorHAnsi"/>
          <w:i/>
          <w:lang w:val="da-DK"/>
        </w:rPr>
        <w:t xml:space="preserve"> som muligt. Og vi kan jo se i regnskabet for 2019, at kunderne gerne</w:t>
      </w:r>
      <w:r w:rsidRPr="00691154">
        <w:rPr>
          <w:rFonts w:asciiTheme="majorHAnsi" w:hAnsiTheme="majorHAnsi" w:cstheme="majorHAnsi"/>
          <w:i/>
          <w:lang w:val="da-DK"/>
        </w:rPr>
        <w:t xml:space="preserve"> vil betale for den værdi. Det er også årsagen til, at vi har omstillet og udvidet vores eksisterende løsninger og tilbyder kunderne 100% </w:t>
      </w:r>
      <w:proofErr w:type="spellStart"/>
      <w:r w:rsidRPr="00691154">
        <w:rPr>
          <w:rFonts w:asciiTheme="majorHAnsi" w:hAnsiTheme="majorHAnsi" w:cstheme="majorHAnsi"/>
          <w:i/>
          <w:lang w:val="da-DK"/>
        </w:rPr>
        <w:t>S</w:t>
      </w:r>
      <w:r w:rsidR="0089133A" w:rsidRPr="00691154">
        <w:rPr>
          <w:rFonts w:asciiTheme="majorHAnsi" w:hAnsiTheme="majorHAnsi" w:cstheme="majorHAnsi"/>
          <w:i/>
          <w:lang w:val="da-DK"/>
        </w:rPr>
        <w:t>aa</w:t>
      </w:r>
      <w:r w:rsidRPr="00691154">
        <w:rPr>
          <w:rFonts w:asciiTheme="majorHAnsi" w:hAnsiTheme="majorHAnsi" w:cstheme="majorHAnsi"/>
          <w:i/>
          <w:lang w:val="da-DK"/>
        </w:rPr>
        <w:t>S</w:t>
      </w:r>
      <w:proofErr w:type="spellEnd"/>
      <w:r w:rsidRPr="00691154">
        <w:rPr>
          <w:rFonts w:asciiTheme="majorHAnsi" w:hAnsiTheme="majorHAnsi" w:cstheme="majorHAnsi"/>
          <w:i/>
          <w:lang w:val="da-DK"/>
        </w:rPr>
        <w:t xml:space="preserve"> løsninger, hvilket er langt mere driftssikkert og fleksibelt end gammel </w:t>
      </w:r>
      <w:proofErr w:type="spellStart"/>
      <w:r w:rsidRPr="00691154">
        <w:rPr>
          <w:rFonts w:asciiTheme="majorHAnsi" w:hAnsiTheme="majorHAnsi" w:cstheme="majorHAnsi"/>
          <w:i/>
          <w:lang w:val="da-DK"/>
        </w:rPr>
        <w:t>tech</w:t>
      </w:r>
      <w:proofErr w:type="spellEnd"/>
      <w:r w:rsidRPr="00691154">
        <w:rPr>
          <w:rFonts w:asciiTheme="majorHAnsi" w:hAnsiTheme="majorHAnsi" w:cstheme="majorHAnsi"/>
          <w:i/>
          <w:lang w:val="da-DK"/>
        </w:rPr>
        <w:t xml:space="preserve"> og on-</w:t>
      </w:r>
      <w:proofErr w:type="spellStart"/>
      <w:r w:rsidRPr="00691154">
        <w:rPr>
          <w:rFonts w:asciiTheme="majorHAnsi" w:hAnsiTheme="majorHAnsi" w:cstheme="majorHAnsi"/>
          <w:i/>
          <w:lang w:val="da-DK"/>
        </w:rPr>
        <w:t>premise</w:t>
      </w:r>
      <w:proofErr w:type="spellEnd"/>
      <w:r w:rsidRPr="00691154">
        <w:rPr>
          <w:rFonts w:asciiTheme="majorHAnsi" w:hAnsiTheme="majorHAnsi" w:cstheme="majorHAnsi"/>
          <w:i/>
          <w:lang w:val="da-DK"/>
        </w:rPr>
        <w:t xml:space="preserve"> løsninger. Vi rammer d</w:t>
      </w:r>
      <w:r w:rsidRPr="00691154">
        <w:rPr>
          <w:rFonts w:asciiTheme="majorHAnsi" w:hAnsiTheme="majorHAnsi" w:cstheme="majorHAnsi"/>
          <w:i/>
          <w:lang w:val="da-DK"/>
        </w:rPr>
        <w:t>erfor kundernes og markedets behov perfekt”</w:t>
      </w:r>
      <w:r w:rsidRPr="00691154">
        <w:rPr>
          <w:rFonts w:asciiTheme="majorHAnsi" w:hAnsiTheme="majorHAnsi" w:cstheme="majorHAnsi"/>
          <w:lang w:val="da-DK"/>
        </w:rPr>
        <w:t>.</w:t>
      </w:r>
    </w:p>
    <w:p w:rsidR="00B25918" w:rsidRPr="00691154" w:rsidRDefault="00B25918">
      <w:pPr>
        <w:rPr>
          <w:rFonts w:asciiTheme="majorHAnsi" w:hAnsiTheme="majorHAnsi" w:cstheme="majorHAnsi"/>
          <w:lang w:val="da-DK"/>
        </w:rPr>
      </w:pPr>
    </w:p>
    <w:p w:rsidR="00B25918" w:rsidRDefault="000F041B">
      <w:pPr>
        <w:rPr>
          <w:rFonts w:asciiTheme="majorHAnsi" w:hAnsiTheme="majorHAnsi" w:cstheme="majorHAnsi"/>
          <w:lang w:val="da-DK"/>
        </w:rPr>
      </w:pPr>
      <w:r w:rsidRPr="00691154">
        <w:rPr>
          <w:rFonts w:asciiTheme="majorHAnsi" w:hAnsiTheme="majorHAnsi" w:cstheme="majorHAnsi"/>
          <w:lang w:val="da-DK"/>
        </w:rPr>
        <w:t xml:space="preserve">Når det gælder udsigterne for 2020, oplever </w:t>
      </w:r>
      <w:proofErr w:type="spellStart"/>
      <w:r w:rsidRPr="00691154">
        <w:rPr>
          <w:rFonts w:asciiTheme="majorHAnsi" w:hAnsiTheme="majorHAnsi" w:cstheme="majorHAnsi"/>
          <w:lang w:val="da-DK"/>
        </w:rPr>
        <w:t>Visma</w:t>
      </w:r>
      <w:proofErr w:type="spellEnd"/>
      <w:r w:rsidRPr="00691154">
        <w:rPr>
          <w:rFonts w:asciiTheme="majorHAnsi" w:hAnsiTheme="majorHAnsi" w:cstheme="majorHAnsi"/>
          <w:lang w:val="da-DK"/>
        </w:rPr>
        <w:t xml:space="preserve"> Enterprise, som mange andre virksomheder, en generel usikkerhed i markedet. Nogle brancher holder igen med investeringer, men Monika Juul Henriksen mener dog, a</w:t>
      </w:r>
      <w:r w:rsidRPr="00691154">
        <w:rPr>
          <w:rFonts w:asciiTheme="majorHAnsi" w:hAnsiTheme="majorHAnsi" w:cstheme="majorHAnsi"/>
          <w:lang w:val="da-DK"/>
        </w:rPr>
        <w:t xml:space="preserve">t mange virksomheder ønsker at accelerere deres digitale transformation, og det kommer </w:t>
      </w:r>
      <w:r w:rsidR="00283AEF" w:rsidRPr="00691154">
        <w:rPr>
          <w:rFonts w:asciiTheme="majorHAnsi" w:hAnsiTheme="majorHAnsi" w:cstheme="majorHAnsi"/>
          <w:lang w:val="da-DK"/>
        </w:rPr>
        <w:t xml:space="preserve">også </w:t>
      </w:r>
      <w:proofErr w:type="spellStart"/>
      <w:r w:rsidRPr="00691154">
        <w:rPr>
          <w:rFonts w:asciiTheme="majorHAnsi" w:hAnsiTheme="majorHAnsi" w:cstheme="majorHAnsi"/>
          <w:lang w:val="da-DK"/>
        </w:rPr>
        <w:t>Visma</w:t>
      </w:r>
      <w:proofErr w:type="spellEnd"/>
      <w:r w:rsidRPr="00691154">
        <w:rPr>
          <w:rFonts w:asciiTheme="majorHAnsi" w:hAnsiTheme="majorHAnsi" w:cstheme="majorHAnsi"/>
          <w:lang w:val="da-DK"/>
        </w:rPr>
        <w:t xml:space="preserve"> Enterprise </w:t>
      </w:r>
      <w:r w:rsidRPr="00691154">
        <w:rPr>
          <w:rFonts w:asciiTheme="majorHAnsi" w:hAnsiTheme="majorHAnsi" w:cstheme="majorHAnsi"/>
          <w:lang w:val="da-DK"/>
        </w:rPr>
        <w:t xml:space="preserve">til </w:t>
      </w:r>
      <w:r w:rsidR="00283AEF" w:rsidRPr="00691154">
        <w:rPr>
          <w:rFonts w:asciiTheme="majorHAnsi" w:hAnsiTheme="majorHAnsi" w:cstheme="majorHAnsi"/>
          <w:lang w:val="da-DK"/>
        </w:rPr>
        <w:t xml:space="preserve">gode. </w:t>
      </w:r>
    </w:p>
    <w:p w:rsidR="00691154" w:rsidRPr="00691154" w:rsidRDefault="00691154">
      <w:pPr>
        <w:rPr>
          <w:rFonts w:asciiTheme="majorHAnsi" w:hAnsiTheme="majorHAnsi" w:cstheme="majorHAnsi"/>
          <w:lang w:val="da-DK"/>
        </w:rPr>
      </w:pPr>
    </w:p>
    <w:p w:rsidR="00B25918" w:rsidRPr="00691154" w:rsidRDefault="000F041B">
      <w:pPr>
        <w:rPr>
          <w:rFonts w:asciiTheme="majorHAnsi" w:hAnsiTheme="majorHAnsi" w:cstheme="majorHAnsi"/>
          <w:lang w:val="da-DK"/>
        </w:rPr>
      </w:pPr>
      <w:r w:rsidRPr="00691154">
        <w:rPr>
          <w:rFonts w:asciiTheme="majorHAnsi" w:hAnsiTheme="majorHAnsi" w:cstheme="majorHAnsi"/>
          <w:i/>
          <w:lang w:val="da-DK"/>
        </w:rPr>
        <w:lastRenderedPageBreak/>
        <w:t>”Vi ser frem mod et spændende 2020, og vi vil gøre alt, hvad vi kan</w:t>
      </w:r>
      <w:r w:rsidR="0089133A" w:rsidRPr="00691154">
        <w:rPr>
          <w:rFonts w:asciiTheme="majorHAnsi" w:hAnsiTheme="majorHAnsi" w:cstheme="majorHAnsi"/>
          <w:i/>
          <w:lang w:val="da-DK"/>
        </w:rPr>
        <w:t>,</w:t>
      </w:r>
      <w:r w:rsidRPr="00691154">
        <w:rPr>
          <w:rFonts w:asciiTheme="majorHAnsi" w:hAnsiTheme="majorHAnsi" w:cstheme="majorHAnsi"/>
          <w:i/>
          <w:lang w:val="da-DK"/>
        </w:rPr>
        <w:t xml:space="preserve"> for at være proaktive på de muligheder, der er i markedet</w:t>
      </w:r>
      <w:r w:rsidRPr="00691154">
        <w:rPr>
          <w:rFonts w:asciiTheme="majorHAnsi" w:hAnsiTheme="majorHAnsi" w:cstheme="majorHAnsi"/>
          <w:i/>
          <w:lang w:val="da-DK"/>
        </w:rPr>
        <w:t>. Vi har i hvert tilfælde løsningerne til det”,</w:t>
      </w:r>
      <w:r w:rsidRPr="00691154">
        <w:rPr>
          <w:rFonts w:asciiTheme="majorHAnsi" w:hAnsiTheme="majorHAnsi" w:cstheme="majorHAnsi"/>
          <w:lang w:val="da-DK"/>
        </w:rPr>
        <w:t xml:space="preserve"> slutter Monika Juul Henriksen.</w:t>
      </w:r>
    </w:p>
    <w:p w:rsidR="00B25918" w:rsidRPr="00691154" w:rsidRDefault="000F041B">
      <w:pPr>
        <w:rPr>
          <w:rFonts w:asciiTheme="majorHAnsi" w:hAnsiTheme="majorHAnsi" w:cstheme="majorHAnsi"/>
          <w:i/>
          <w:sz w:val="20"/>
          <w:szCs w:val="20"/>
          <w:lang w:val="da-DK"/>
        </w:rPr>
      </w:pPr>
      <w:r w:rsidRPr="00691154">
        <w:rPr>
          <w:rFonts w:asciiTheme="majorHAnsi" w:hAnsiTheme="majorHAnsi" w:cstheme="majorHAnsi"/>
          <w:i/>
          <w:sz w:val="20"/>
          <w:szCs w:val="20"/>
          <w:lang w:val="da-DK"/>
        </w:rPr>
        <w:t xml:space="preserve">For yderligere information eller kommentarer, kontakt venligst Marketing &amp; </w:t>
      </w:r>
      <w:proofErr w:type="spellStart"/>
      <w:r w:rsidRPr="00691154">
        <w:rPr>
          <w:rFonts w:asciiTheme="majorHAnsi" w:hAnsiTheme="majorHAnsi" w:cstheme="majorHAnsi"/>
          <w:i/>
          <w:sz w:val="20"/>
          <w:szCs w:val="20"/>
          <w:lang w:val="da-DK"/>
        </w:rPr>
        <w:t>Communication</w:t>
      </w:r>
      <w:proofErr w:type="spellEnd"/>
      <w:r w:rsidRPr="00691154">
        <w:rPr>
          <w:rFonts w:asciiTheme="majorHAnsi" w:hAnsiTheme="majorHAnsi" w:cstheme="majorHAnsi"/>
          <w:i/>
          <w:sz w:val="20"/>
          <w:szCs w:val="20"/>
          <w:lang w:val="da-DK"/>
        </w:rPr>
        <w:t xml:space="preserve"> Manager Rikke Junker Bundgaard på rikke.bundgaard@visma.com eller 42 82 26 63. </w:t>
      </w:r>
    </w:p>
    <w:p w:rsidR="00B25918" w:rsidRPr="00691154" w:rsidRDefault="000F041B">
      <w:pPr>
        <w:rPr>
          <w:rFonts w:asciiTheme="majorHAnsi" w:hAnsiTheme="majorHAnsi" w:cstheme="majorHAnsi"/>
          <w:sz w:val="20"/>
          <w:szCs w:val="20"/>
          <w:lang w:val="da-DK"/>
        </w:rPr>
      </w:pPr>
      <w:r w:rsidRPr="00691154">
        <w:rPr>
          <w:rFonts w:asciiTheme="majorHAnsi" w:hAnsiTheme="majorHAnsi" w:cstheme="majorHAnsi"/>
          <w:sz w:val="20"/>
          <w:szCs w:val="20"/>
          <w:lang w:val="da-DK"/>
        </w:rPr>
        <w:t xml:space="preserve"> </w:t>
      </w:r>
    </w:p>
    <w:p w:rsidR="00B25918" w:rsidRPr="00691154" w:rsidRDefault="000F041B">
      <w:pPr>
        <w:rPr>
          <w:rFonts w:asciiTheme="majorHAnsi" w:hAnsiTheme="majorHAnsi" w:cstheme="majorHAnsi"/>
          <w:lang w:val="da-DK"/>
        </w:rPr>
      </w:pPr>
      <w:r w:rsidRPr="00691154">
        <w:rPr>
          <w:rFonts w:asciiTheme="majorHAnsi" w:hAnsiTheme="majorHAnsi" w:cstheme="majorHAnsi"/>
          <w:lang w:val="da-DK"/>
        </w:rPr>
        <w:t xml:space="preserve"> </w:t>
      </w:r>
    </w:p>
    <w:p w:rsidR="00B448B4" w:rsidRPr="00691154" w:rsidRDefault="00B448B4" w:rsidP="00B448B4">
      <w:pPr>
        <w:rPr>
          <w:rFonts w:asciiTheme="majorHAnsi" w:hAnsiTheme="majorHAnsi" w:cstheme="majorHAnsi"/>
          <w:b/>
          <w:sz w:val="20"/>
          <w:szCs w:val="20"/>
          <w:lang w:val="da-DK"/>
        </w:rPr>
      </w:pPr>
      <w:r w:rsidRPr="00691154">
        <w:rPr>
          <w:rFonts w:asciiTheme="majorHAnsi" w:hAnsiTheme="majorHAnsi" w:cstheme="majorHAnsi"/>
          <w:b/>
          <w:sz w:val="20"/>
          <w:szCs w:val="20"/>
          <w:lang w:val="da-DK"/>
        </w:rPr>
        <w:t xml:space="preserve">Om </w:t>
      </w:r>
      <w:proofErr w:type="spellStart"/>
      <w:r w:rsidRPr="00691154">
        <w:rPr>
          <w:rFonts w:asciiTheme="majorHAnsi" w:hAnsiTheme="majorHAnsi" w:cstheme="majorHAnsi"/>
          <w:b/>
          <w:sz w:val="20"/>
          <w:szCs w:val="20"/>
          <w:lang w:val="da-DK"/>
        </w:rPr>
        <w:t>Visma</w:t>
      </w:r>
      <w:proofErr w:type="spellEnd"/>
      <w:r w:rsidRPr="00691154">
        <w:rPr>
          <w:rFonts w:asciiTheme="majorHAnsi" w:hAnsiTheme="majorHAnsi" w:cstheme="majorHAnsi"/>
          <w:b/>
          <w:sz w:val="20"/>
          <w:szCs w:val="20"/>
          <w:lang w:val="da-DK"/>
        </w:rPr>
        <w:t xml:space="preserve"> Enterprise A/S</w:t>
      </w:r>
    </w:p>
    <w:p w:rsidR="00B448B4" w:rsidRPr="00691154" w:rsidRDefault="00B448B4" w:rsidP="00B448B4">
      <w:pPr>
        <w:rPr>
          <w:rFonts w:asciiTheme="majorHAnsi" w:hAnsiTheme="majorHAnsi" w:cstheme="majorHAnsi"/>
          <w:sz w:val="20"/>
          <w:szCs w:val="20"/>
          <w:lang w:val="da-DK"/>
        </w:rPr>
      </w:pPr>
      <w:proofErr w:type="spellStart"/>
      <w:r w:rsidRPr="00691154">
        <w:rPr>
          <w:rFonts w:asciiTheme="majorHAnsi" w:hAnsiTheme="majorHAnsi" w:cstheme="majorHAnsi"/>
          <w:sz w:val="20"/>
          <w:szCs w:val="20"/>
          <w:lang w:val="da-DK"/>
        </w:rPr>
        <w:t>Visma</w:t>
      </w:r>
      <w:proofErr w:type="spellEnd"/>
      <w:r w:rsidRPr="00691154">
        <w:rPr>
          <w:rFonts w:asciiTheme="majorHAnsi" w:hAnsiTheme="majorHAnsi" w:cstheme="majorHAnsi"/>
          <w:sz w:val="20"/>
          <w:szCs w:val="20"/>
          <w:lang w:val="da-DK"/>
        </w:rPr>
        <w:t xml:space="preserve"> Enterprise A/S er en af landets førende leverandører af HRM-løsninger. Med 155 medarbejdere rådgiver og servicerer </w:t>
      </w:r>
      <w:proofErr w:type="spellStart"/>
      <w:r w:rsidRPr="00691154">
        <w:rPr>
          <w:rFonts w:asciiTheme="majorHAnsi" w:hAnsiTheme="majorHAnsi" w:cstheme="majorHAnsi"/>
          <w:sz w:val="20"/>
          <w:szCs w:val="20"/>
          <w:lang w:val="da-DK"/>
        </w:rPr>
        <w:t>Visma</w:t>
      </w:r>
      <w:proofErr w:type="spellEnd"/>
      <w:r w:rsidRPr="00691154">
        <w:rPr>
          <w:rFonts w:asciiTheme="majorHAnsi" w:hAnsiTheme="majorHAnsi" w:cstheme="majorHAnsi"/>
          <w:sz w:val="20"/>
          <w:szCs w:val="20"/>
          <w:lang w:val="da-DK"/>
        </w:rPr>
        <w:t xml:space="preserve"> Enterprise 1500+ kunder, primært mellemstore og store virksomheder, med skræddersyede HR-løsninger inden for rekruttering, personale- og lønprocesser. </w:t>
      </w:r>
      <w:proofErr w:type="spellStart"/>
      <w:r w:rsidRPr="00691154">
        <w:rPr>
          <w:rFonts w:asciiTheme="majorHAnsi" w:hAnsiTheme="majorHAnsi" w:cstheme="majorHAnsi"/>
          <w:sz w:val="20"/>
          <w:szCs w:val="20"/>
          <w:lang w:val="da-DK"/>
        </w:rPr>
        <w:t>Visma</w:t>
      </w:r>
      <w:proofErr w:type="spellEnd"/>
      <w:r w:rsidRPr="00691154">
        <w:rPr>
          <w:rFonts w:asciiTheme="majorHAnsi" w:hAnsiTheme="majorHAnsi" w:cstheme="majorHAnsi"/>
          <w:sz w:val="20"/>
          <w:szCs w:val="20"/>
          <w:lang w:val="da-DK"/>
        </w:rPr>
        <w:t xml:space="preserve"> Enterprise A/S har hovedkontor i Ballerup. Adm. direktør for </w:t>
      </w:r>
      <w:proofErr w:type="spellStart"/>
      <w:r w:rsidRPr="00691154">
        <w:rPr>
          <w:rFonts w:asciiTheme="majorHAnsi" w:hAnsiTheme="majorHAnsi" w:cstheme="majorHAnsi"/>
          <w:sz w:val="20"/>
          <w:szCs w:val="20"/>
          <w:lang w:val="da-DK"/>
        </w:rPr>
        <w:t>Visma</w:t>
      </w:r>
      <w:proofErr w:type="spellEnd"/>
      <w:r w:rsidRPr="00691154">
        <w:rPr>
          <w:rFonts w:asciiTheme="majorHAnsi" w:hAnsiTheme="majorHAnsi" w:cstheme="majorHAnsi"/>
          <w:sz w:val="20"/>
          <w:szCs w:val="20"/>
          <w:lang w:val="da-DK"/>
        </w:rPr>
        <w:t xml:space="preserve"> Enterprise A/S er Monika Juul Henriksen.</w:t>
      </w:r>
    </w:p>
    <w:p w:rsidR="00B448B4" w:rsidRPr="00691154" w:rsidRDefault="00B448B4" w:rsidP="00B448B4">
      <w:pPr>
        <w:rPr>
          <w:rFonts w:asciiTheme="majorHAnsi" w:hAnsiTheme="majorHAnsi" w:cstheme="majorHAnsi"/>
          <w:sz w:val="20"/>
          <w:szCs w:val="20"/>
          <w:lang w:val="da-DK"/>
        </w:rPr>
      </w:pPr>
      <w:r w:rsidRPr="00691154">
        <w:rPr>
          <w:rFonts w:asciiTheme="majorHAnsi" w:hAnsiTheme="majorHAnsi" w:cstheme="majorHAnsi"/>
          <w:sz w:val="20"/>
          <w:szCs w:val="20"/>
          <w:lang w:val="da-DK"/>
        </w:rPr>
        <w:t xml:space="preserve"> </w:t>
      </w:r>
    </w:p>
    <w:p w:rsidR="00B448B4" w:rsidRPr="00691154" w:rsidRDefault="00B448B4" w:rsidP="00B448B4">
      <w:pPr>
        <w:rPr>
          <w:rFonts w:asciiTheme="majorHAnsi" w:hAnsiTheme="majorHAnsi" w:cstheme="majorHAnsi"/>
          <w:sz w:val="20"/>
          <w:szCs w:val="20"/>
          <w:lang w:val="da-DK"/>
        </w:rPr>
      </w:pPr>
      <w:proofErr w:type="spellStart"/>
      <w:r w:rsidRPr="00691154">
        <w:rPr>
          <w:rFonts w:asciiTheme="majorHAnsi" w:hAnsiTheme="majorHAnsi" w:cstheme="majorHAnsi"/>
          <w:sz w:val="20"/>
          <w:szCs w:val="20"/>
          <w:lang w:val="da-DK"/>
        </w:rPr>
        <w:t>Visma</w:t>
      </w:r>
      <w:proofErr w:type="spellEnd"/>
      <w:r w:rsidRPr="00691154">
        <w:rPr>
          <w:rFonts w:asciiTheme="majorHAnsi" w:hAnsiTheme="majorHAnsi" w:cstheme="majorHAnsi"/>
          <w:sz w:val="20"/>
          <w:szCs w:val="20"/>
          <w:lang w:val="da-DK"/>
        </w:rPr>
        <w:t xml:space="preserve"> Enterprise A/S har tidligere været en del af selskabet </w:t>
      </w:r>
      <w:proofErr w:type="spellStart"/>
      <w:r w:rsidRPr="00691154">
        <w:rPr>
          <w:rFonts w:asciiTheme="majorHAnsi" w:hAnsiTheme="majorHAnsi" w:cstheme="majorHAnsi"/>
          <w:sz w:val="20"/>
          <w:szCs w:val="20"/>
          <w:lang w:val="da-DK"/>
        </w:rPr>
        <w:t>Visma</w:t>
      </w:r>
      <w:proofErr w:type="spellEnd"/>
      <w:r w:rsidRPr="00691154">
        <w:rPr>
          <w:rFonts w:asciiTheme="majorHAnsi" w:hAnsiTheme="majorHAnsi" w:cstheme="majorHAnsi"/>
          <w:sz w:val="20"/>
          <w:szCs w:val="20"/>
          <w:lang w:val="da-DK"/>
        </w:rPr>
        <w:t xml:space="preserve"> </w:t>
      </w:r>
      <w:proofErr w:type="spellStart"/>
      <w:r w:rsidRPr="00691154">
        <w:rPr>
          <w:rFonts w:asciiTheme="majorHAnsi" w:hAnsiTheme="majorHAnsi" w:cstheme="majorHAnsi"/>
          <w:sz w:val="20"/>
          <w:szCs w:val="20"/>
          <w:lang w:val="da-DK"/>
        </w:rPr>
        <w:t>Bluegarden</w:t>
      </w:r>
      <w:proofErr w:type="spellEnd"/>
      <w:r w:rsidRPr="00691154">
        <w:rPr>
          <w:rFonts w:asciiTheme="majorHAnsi" w:hAnsiTheme="majorHAnsi" w:cstheme="majorHAnsi"/>
          <w:sz w:val="20"/>
          <w:szCs w:val="20"/>
          <w:lang w:val="da-DK"/>
        </w:rPr>
        <w:t xml:space="preserve"> A/S. I januar 2019 valgte </w:t>
      </w:r>
      <w:proofErr w:type="spellStart"/>
      <w:r w:rsidRPr="00691154">
        <w:rPr>
          <w:rFonts w:asciiTheme="majorHAnsi" w:hAnsiTheme="majorHAnsi" w:cstheme="majorHAnsi"/>
          <w:sz w:val="20"/>
          <w:szCs w:val="20"/>
          <w:lang w:val="da-DK"/>
        </w:rPr>
        <w:t>Visma</w:t>
      </w:r>
      <w:proofErr w:type="spellEnd"/>
      <w:r w:rsidRPr="00691154">
        <w:rPr>
          <w:rFonts w:asciiTheme="majorHAnsi" w:hAnsiTheme="majorHAnsi" w:cstheme="majorHAnsi"/>
          <w:sz w:val="20"/>
          <w:szCs w:val="20"/>
          <w:lang w:val="da-DK"/>
        </w:rPr>
        <w:t xml:space="preserve"> Enterprise imidlertid at </w:t>
      </w:r>
      <w:proofErr w:type="spellStart"/>
      <w:r w:rsidRPr="00691154">
        <w:rPr>
          <w:rFonts w:asciiTheme="majorHAnsi" w:hAnsiTheme="majorHAnsi" w:cstheme="majorHAnsi"/>
          <w:sz w:val="20"/>
          <w:szCs w:val="20"/>
          <w:lang w:val="da-DK"/>
        </w:rPr>
        <w:t>fissionere</w:t>
      </w:r>
      <w:proofErr w:type="spellEnd"/>
      <w:r w:rsidRPr="00691154">
        <w:rPr>
          <w:rFonts w:asciiTheme="majorHAnsi" w:hAnsiTheme="majorHAnsi" w:cstheme="majorHAnsi"/>
          <w:sz w:val="20"/>
          <w:szCs w:val="20"/>
          <w:lang w:val="da-DK"/>
        </w:rPr>
        <w:t xml:space="preserve"> fra </w:t>
      </w:r>
      <w:proofErr w:type="spellStart"/>
      <w:r w:rsidRPr="00691154">
        <w:rPr>
          <w:rFonts w:asciiTheme="majorHAnsi" w:hAnsiTheme="majorHAnsi" w:cstheme="majorHAnsi"/>
          <w:sz w:val="20"/>
          <w:szCs w:val="20"/>
          <w:lang w:val="da-DK"/>
        </w:rPr>
        <w:t>Visma</w:t>
      </w:r>
      <w:proofErr w:type="spellEnd"/>
      <w:r w:rsidRPr="00691154">
        <w:rPr>
          <w:rFonts w:asciiTheme="majorHAnsi" w:hAnsiTheme="majorHAnsi" w:cstheme="majorHAnsi"/>
          <w:sz w:val="20"/>
          <w:szCs w:val="20"/>
          <w:lang w:val="da-DK"/>
        </w:rPr>
        <w:t xml:space="preserve"> Dataløn, og begge forretningsenheder er i dag selvstændige selskaber i den norskejede softwarekoncern </w:t>
      </w:r>
      <w:proofErr w:type="spellStart"/>
      <w:r w:rsidRPr="00691154">
        <w:rPr>
          <w:rFonts w:asciiTheme="majorHAnsi" w:hAnsiTheme="majorHAnsi" w:cstheme="majorHAnsi"/>
          <w:sz w:val="20"/>
          <w:szCs w:val="20"/>
          <w:lang w:val="da-DK"/>
        </w:rPr>
        <w:t>Visma</w:t>
      </w:r>
      <w:proofErr w:type="spellEnd"/>
      <w:r w:rsidRPr="00691154">
        <w:rPr>
          <w:rFonts w:asciiTheme="majorHAnsi" w:hAnsiTheme="majorHAnsi" w:cstheme="majorHAnsi"/>
          <w:sz w:val="20"/>
          <w:szCs w:val="20"/>
          <w:lang w:val="da-DK"/>
        </w:rPr>
        <w:t>, som er Europas førende udbyder af softwareløsninger til både det private og offentlige marked.</w:t>
      </w:r>
    </w:p>
    <w:p w:rsidR="00B448B4" w:rsidRPr="00691154" w:rsidRDefault="00B448B4">
      <w:pPr>
        <w:rPr>
          <w:rFonts w:asciiTheme="majorHAnsi" w:hAnsiTheme="majorHAnsi" w:cstheme="majorHAnsi"/>
          <w:lang w:val="da-DK"/>
        </w:rPr>
      </w:pPr>
    </w:p>
    <w:p w:rsidR="00B448B4" w:rsidRPr="00691154" w:rsidRDefault="00B448B4">
      <w:pPr>
        <w:rPr>
          <w:rFonts w:asciiTheme="majorHAnsi" w:hAnsiTheme="majorHAnsi" w:cstheme="majorHAnsi"/>
          <w:lang w:val="da-DK"/>
        </w:rPr>
      </w:pPr>
    </w:p>
    <w:p w:rsidR="00B25918" w:rsidRPr="00691154" w:rsidRDefault="000F041B">
      <w:pPr>
        <w:rPr>
          <w:rFonts w:asciiTheme="majorHAnsi" w:hAnsiTheme="majorHAnsi" w:cstheme="majorHAnsi"/>
          <w:b/>
        </w:rPr>
      </w:pPr>
      <w:r w:rsidRPr="00691154">
        <w:rPr>
          <w:rFonts w:asciiTheme="majorHAnsi" w:hAnsiTheme="majorHAnsi" w:cstheme="majorHAnsi"/>
          <w:b/>
        </w:rPr>
        <w:t xml:space="preserve">Financial highlights, Annual report </w:t>
      </w:r>
      <w:proofErr w:type="spellStart"/>
      <w:r w:rsidRPr="00691154">
        <w:rPr>
          <w:rFonts w:asciiTheme="majorHAnsi" w:hAnsiTheme="majorHAnsi" w:cstheme="majorHAnsi"/>
          <w:b/>
        </w:rPr>
        <w:t>Visma</w:t>
      </w:r>
      <w:proofErr w:type="spellEnd"/>
      <w:r w:rsidRPr="00691154">
        <w:rPr>
          <w:rFonts w:asciiTheme="majorHAnsi" w:hAnsiTheme="majorHAnsi" w:cstheme="majorHAnsi"/>
          <w:b/>
        </w:rPr>
        <w:t xml:space="preserve"> Enterprise A/S 2019</w:t>
      </w:r>
    </w:p>
    <w:p w:rsidR="00592D11" w:rsidRPr="00691154" w:rsidRDefault="00592D11">
      <w:pPr>
        <w:rPr>
          <w:rFonts w:asciiTheme="majorHAnsi" w:hAnsiTheme="majorHAnsi" w:cstheme="majorHAnsi"/>
          <w:b/>
        </w:rPr>
      </w:pPr>
    </w:p>
    <w:tbl>
      <w:tblPr>
        <w:tblStyle w:val="a"/>
        <w:tblW w:w="6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3180"/>
      </w:tblGrid>
      <w:tr w:rsidR="00592D11" w:rsidRPr="00691154" w:rsidTr="00680A12">
        <w:trPr>
          <w:trHeight w:val="160"/>
        </w:trPr>
        <w:tc>
          <w:tcPr>
            <w:tcW w:w="3180" w:type="dxa"/>
            <w:tcBorders>
              <w:top w:val="single" w:sz="8" w:space="0" w:color="27588D"/>
              <w:left w:val="single" w:sz="8" w:space="0" w:color="27588D"/>
              <w:bottom w:val="single" w:sz="8" w:space="0" w:color="CCCCCC"/>
              <w:right w:val="single" w:sz="8" w:space="0" w:color="27588D"/>
            </w:tcBorders>
            <w:shd w:val="clear" w:color="auto" w:fill="007AC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D11" w:rsidRPr="00691154" w:rsidRDefault="00592D11" w:rsidP="00680A12">
            <w:pPr>
              <w:widowControl w:val="0"/>
              <w:rPr>
                <w:rFonts w:asciiTheme="majorHAnsi" w:eastAsia="Open Sans" w:hAnsiTheme="majorHAnsi" w:cstheme="majorHAnsi"/>
                <w:color w:val="FFFFFF"/>
              </w:rPr>
            </w:pPr>
          </w:p>
        </w:tc>
        <w:tc>
          <w:tcPr>
            <w:tcW w:w="3180" w:type="dxa"/>
            <w:tcBorders>
              <w:top w:val="single" w:sz="8" w:space="0" w:color="27588D"/>
              <w:left w:val="single" w:sz="8" w:space="0" w:color="27588D"/>
              <w:bottom w:val="single" w:sz="8" w:space="0" w:color="CCCCCC"/>
              <w:right w:val="single" w:sz="8" w:space="0" w:color="27588D"/>
            </w:tcBorders>
            <w:shd w:val="clear" w:color="auto" w:fill="007AC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D11" w:rsidRPr="00691154" w:rsidRDefault="00691154" w:rsidP="00680A12">
            <w:pPr>
              <w:widowControl w:val="0"/>
              <w:jc w:val="right"/>
              <w:rPr>
                <w:rFonts w:asciiTheme="majorHAnsi" w:eastAsia="Open Sans" w:hAnsiTheme="majorHAnsi" w:cstheme="majorHAnsi"/>
              </w:rPr>
            </w:pPr>
            <w:r w:rsidRPr="00691154">
              <w:rPr>
                <w:rFonts w:asciiTheme="majorHAnsi" w:eastAsia="Open Sans" w:hAnsiTheme="majorHAnsi" w:cstheme="majorHAnsi"/>
                <w:color w:val="FFFFFF"/>
              </w:rPr>
              <w:t>DKK ‘000</w:t>
            </w:r>
          </w:p>
        </w:tc>
      </w:tr>
      <w:tr w:rsidR="00592D11" w:rsidRPr="00691154" w:rsidTr="00680A12">
        <w:trPr>
          <w:trHeight w:val="440"/>
        </w:trPr>
        <w:tc>
          <w:tcPr>
            <w:tcW w:w="3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D11" w:rsidRPr="00691154" w:rsidRDefault="00592D11" w:rsidP="00680A12">
            <w:pPr>
              <w:widowControl w:val="0"/>
              <w:rPr>
                <w:rFonts w:asciiTheme="majorHAnsi" w:eastAsia="Open Sans Semibold" w:hAnsiTheme="majorHAnsi" w:cstheme="majorHAnsi"/>
                <w:color w:val="434343"/>
              </w:rPr>
            </w:pPr>
            <w:r w:rsidRPr="00691154">
              <w:rPr>
                <w:rFonts w:asciiTheme="majorHAnsi" w:eastAsia="Open Sans Semibold" w:hAnsiTheme="majorHAnsi" w:cstheme="majorHAnsi"/>
                <w:color w:val="434343"/>
              </w:rPr>
              <w:t>Key Figures:</w:t>
            </w:r>
          </w:p>
        </w:tc>
        <w:tc>
          <w:tcPr>
            <w:tcW w:w="3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D11" w:rsidRPr="00691154" w:rsidRDefault="00592D11" w:rsidP="00680A12">
            <w:pPr>
              <w:widowControl w:val="0"/>
              <w:jc w:val="right"/>
              <w:rPr>
                <w:rFonts w:asciiTheme="majorHAnsi" w:eastAsia="Open Sans" w:hAnsiTheme="majorHAnsi" w:cstheme="majorHAnsi"/>
                <w:color w:val="434343"/>
              </w:rPr>
            </w:pPr>
          </w:p>
        </w:tc>
      </w:tr>
      <w:tr w:rsidR="00592D11" w:rsidRPr="00691154" w:rsidTr="00680A12">
        <w:trPr>
          <w:trHeight w:val="440"/>
        </w:trPr>
        <w:tc>
          <w:tcPr>
            <w:tcW w:w="3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D11" w:rsidRPr="00691154" w:rsidRDefault="00592D11" w:rsidP="00680A12">
            <w:pPr>
              <w:widowControl w:val="0"/>
              <w:rPr>
                <w:rFonts w:asciiTheme="majorHAnsi" w:eastAsia="Open Sans" w:hAnsiTheme="majorHAnsi" w:cstheme="majorHAnsi"/>
                <w:color w:val="434343"/>
              </w:rPr>
            </w:pPr>
            <w:r w:rsidRPr="00691154">
              <w:rPr>
                <w:rFonts w:asciiTheme="majorHAnsi" w:eastAsia="Open Sans" w:hAnsiTheme="majorHAnsi" w:cstheme="majorHAnsi"/>
                <w:color w:val="434343"/>
              </w:rPr>
              <w:t>Revenue</w:t>
            </w:r>
          </w:p>
        </w:tc>
        <w:tc>
          <w:tcPr>
            <w:tcW w:w="3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D11" w:rsidRPr="00691154" w:rsidRDefault="00592D11" w:rsidP="00680A12">
            <w:pPr>
              <w:widowControl w:val="0"/>
              <w:jc w:val="right"/>
              <w:rPr>
                <w:rFonts w:asciiTheme="majorHAnsi" w:eastAsia="Open Sans" w:hAnsiTheme="majorHAnsi" w:cstheme="majorHAnsi"/>
                <w:color w:val="434343"/>
              </w:rPr>
            </w:pPr>
            <w:r w:rsidRPr="00691154">
              <w:rPr>
                <w:rFonts w:asciiTheme="majorHAnsi" w:eastAsia="Open Sans" w:hAnsiTheme="majorHAnsi" w:cstheme="majorHAnsi"/>
                <w:color w:val="434343"/>
              </w:rPr>
              <w:t>190,767</w:t>
            </w:r>
          </w:p>
        </w:tc>
      </w:tr>
      <w:tr w:rsidR="00592D11" w:rsidRPr="00691154" w:rsidTr="00680A12">
        <w:trPr>
          <w:trHeight w:val="440"/>
        </w:trPr>
        <w:tc>
          <w:tcPr>
            <w:tcW w:w="3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D11" w:rsidRPr="00691154" w:rsidRDefault="00592D11" w:rsidP="00680A12">
            <w:pPr>
              <w:widowControl w:val="0"/>
              <w:rPr>
                <w:rFonts w:asciiTheme="majorHAnsi" w:eastAsia="Open Sans" w:hAnsiTheme="majorHAnsi" w:cstheme="majorHAnsi"/>
                <w:color w:val="434343"/>
              </w:rPr>
            </w:pPr>
            <w:r w:rsidRPr="00691154">
              <w:rPr>
                <w:rFonts w:asciiTheme="majorHAnsi" w:eastAsia="Open Sans" w:hAnsiTheme="majorHAnsi" w:cstheme="majorHAnsi"/>
                <w:color w:val="434343"/>
              </w:rPr>
              <w:t>Gross margin</w:t>
            </w:r>
          </w:p>
        </w:tc>
        <w:tc>
          <w:tcPr>
            <w:tcW w:w="3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D11" w:rsidRPr="00691154" w:rsidRDefault="00592D11" w:rsidP="00680A12">
            <w:pPr>
              <w:widowControl w:val="0"/>
              <w:jc w:val="right"/>
              <w:rPr>
                <w:rFonts w:asciiTheme="majorHAnsi" w:eastAsia="Open Sans" w:hAnsiTheme="majorHAnsi" w:cstheme="majorHAnsi"/>
                <w:color w:val="434343"/>
              </w:rPr>
            </w:pPr>
            <w:r w:rsidRPr="00691154">
              <w:rPr>
                <w:rFonts w:asciiTheme="majorHAnsi" w:eastAsia="Open Sans" w:hAnsiTheme="majorHAnsi" w:cstheme="majorHAnsi"/>
                <w:color w:val="434343"/>
              </w:rPr>
              <w:t>133,442</w:t>
            </w:r>
          </w:p>
        </w:tc>
      </w:tr>
      <w:tr w:rsidR="00592D11" w:rsidRPr="00691154" w:rsidTr="00680A12">
        <w:trPr>
          <w:trHeight w:val="440"/>
        </w:trPr>
        <w:tc>
          <w:tcPr>
            <w:tcW w:w="3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D11" w:rsidRPr="00691154" w:rsidRDefault="00592D11" w:rsidP="00680A12">
            <w:pPr>
              <w:widowControl w:val="0"/>
              <w:rPr>
                <w:rFonts w:asciiTheme="majorHAnsi" w:eastAsia="Open Sans" w:hAnsiTheme="majorHAnsi" w:cstheme="majorHAnsi"/>
                <w:color w:val="434343"/>
              </w:rPr>
            </w:pPr>
            <w:r w:rsidRPr="00691154">
              <w:rPr>
                <w:rFonts w:asciiTheme="majorHAnsi" w:eastAsia="Open Sans" w:hAnsiTheme="majorHAnsi" w:cstheme="majorHAnsi"/>
                <w:color w:val="434343"/>
              </w:rPr>
              <w:t>Operating profit/loss</w:t>
            </w:r>
          </w:p>
        </w:tc>
        <w:tc>
          <w:tcPr>
            <w:tcW w:w="3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D11" w:rsidRPr="00691154" w:rsidRDefault="00592D11" w:rsidP="00680A12">
            <w:pPr>
              <w:widowControl w:val="0"/>
              <w:jc w:val="right"/>
              <w:rPr>
                <w:rFonts w:asciiTheme="majorHAnsi" w:eastAsia="Open Sans" w:hAnsiTheme="majorHAnsi" w:cstheme="majorHAnsi"/>
                <w:color w:val="434343"/>
              </w:rPr>
            </w:pPr>
            <w:r w:rsidRPr="00691154">
              <w:rPr>
                <w:rFonts w:asciiTheme="majorHAnsi" w:eastAsia="Open Sans" w:hAnsiTheme="majorHAnsi" w:cstheme="majorHAnsi"/>
                <w:color w:val="434343"/>
              </w:rPr>
              <w:t>6,398</w:t>
            </w:r>
          </w:p>
        </w:tc>
      </w:tr>
      <w:tr w:rsidR="00592D11" w:rsidRPr="00691154" w:rsidTr="00680A12">
        <w:trPr>
          <w:trHeight w:val="440"/>
        </w:trPr>
        <w:tc>
          <w:tcPr>
            <w:tcW w:w="3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D11" w:rsidRPr="00691154" w:rsidRDefault="00592D11" w:rsidP="00680A12">
            <w:pPr>
              <w:widowControl w:val="0"/>
              <w:rPr>
                <w:rFonts w:asciiTheme="majorHAnsi" w:eastAsia="Open Sans" w:hAnsiTheme="majorHAnsi" w:cstheme="majorHAnsi"/>
                <w:color w:val="434343"/>
              </w:rPr>
            </w:pPr>
            <w:r w:rsidRPr="00691154">
              <w:rPr>
                <w:rFonts w:asciiTheme="majorHAnsi" w:eastAsia="Open Sans" w:hAnsiTheme="majorHAnsi" w:cstheme="majorHAnsi"/>
                <w:color w:val="434343"/>
              </w:rPr>
              <w:t>Net financials</w:t>
            </w:r>
          </w:p>
        </w:tc>
        <w:tc>
          <w:tcPr>
            <w:tcW w:w="3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D11" w:rsidRPr="00691154" w:rsidRDefault="00592D11" w:rsidP="00680A12">
            <w:pPr>
              <w:widowControl w:val="0"/>
              <w:jc w:val="right"/>
              <w:rPr>
                <w:rFonts w:asciiTheme="majorHAnsi" w:eastAsia="Open Sans" w:hAnsiTheme="majorHAnsi" w:cstheme="majorHAnsi"/>
                <w:color w:val="434343"/>
              </w:rPr>
            </w:pPr>
            <w:r w:rsidRPr="00691154">
              <w:rPr>
                <w:rFonts w:asciiTheme="majorHAnsi" w:eastAsia="Open Sans" w:hAnsiTheme="majorHAnsi" w:cstheme="majorHAnsi"/>
                <w:color w:val="434343"/>
              </w:rPr>
              <w:t>-158</w:t>
            </w:r>
          </w:p>
        </w:tc>
      </w:tr>
      <w:tr w:rsidR="00592D11" w:rsidRPr="00691154" w:rsidTr="00680A12">
        <w:trPr>
          <w:trHeight w:val="440"/>
        </w:trPr>
        <w:tc>
          <w:tcPr>
            <w:tcW w:w="3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D11" w:rsidRPr="00691154" w:rsidRDefault="00592D11" w:rsidP="00680A12">
            <w:pPr>
              <w:widowControl w:val="0"/>
              <w:rPr>
                <w:rFonts w:asciiTheme="majorHAnsi" w:eastAsia="Open Sans" w:hAnsiTheme="majorHAnsi" w:cstheme="majorHAnsi"/>
                <w:color w:val="434343"/>
              </w:rPr>
            </w:pPr>
            <w:r w:rsidRPr="00691154">
              <w:rPr>
                <w:rFonts w:asciiTheme="majorHAnsi" w:eastAsia="Open Sans" w:hAnsiTheme="majorHAnsi" w:cstheme="majorHAnsi"/>
                <w:color w:val="434343"/>
              </w:rPr>
              <w:t>Profit before tax</w:t>
            </w:r>
          </w:p>
        </w:tc>
        <w:tc>
          <w:tcPr>
            <w:tcW w:w="3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D11" w:rsidRPr="00691154" w:rsidRDefault="00592D11" w:rsidP="00680A12">
            <w:pPr>
              <w:widowControl w:val="0"/>
              <w:jc w:val="right"/>
              <w:rPr>
                <w:rFonts w:asciiTheme="majorHAnsi" w:eastAsia="Open Sans" w:hAnsiTheme="majorHAnsi" w:cstheme="majorHAnsi"/>
                <w:color w:val="434343"/>
              </w:rPr>
            </w:pPr>
            <w:r w:rsidRPr="00691154">
              <w:rPr>
                <w:rFonts w:asciiTheme="majorHAnsi" w:eastAsia="Open Sans" w:hAnsiTheme="majorHAnsi" w:cstheme="majorHAnsi"/>
                <w:color w:val="434343"/>
              </w:rPr>
              <w:t>12,633</w:t>
            </w:r>
          </w:p>
        </w:tc>
      </w:tr>
      <w:tr w:rsidR="00592D11" w:rsidRPr="00691154" w:rsidTr="00680A12">
        <w:trPr>
          <w:trHeight w:val="440"/>
        </w:trPr>
        <w:tc>
          <w:tcPr>
            <w:tcW w:w="3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D11" w:rsidRPr="00691154" w:rsidRDefault="00592D11" w:rsidP="00680A12">
            <w:pPr>
              <w:widowControl w:val="0"/>
              <w:rPr>
                <w:rFonts w:asciiTheme="majorHAnsi" w:eastAsia="Open Sans Semibold" w:hAnsiTheme="majorHAnsi" w:cstheme="majorHAnsi"/>
                <w:color w:val="434343"/>
              </w:rPr>
            </w:pPr>
            <w:r w:rsidRPr="00691154">
              <w:rPr>
                <w:rFonts w:asciiTheme="majorHAnsi" w:eastAsia="Open Sans Semibold" w:hAnsiTheme="majorHAnsi" w:cstheme="majorHAnsi"/>
                <w:color w:val="434343"/>
              </w:rPr>
              <w:t>Profit/loss for the year</w:t>
            </w:r>
          </w:p>
        </w:tc>
        <w:tc>
          <w:tcPr>
            <w:tcW w:w="31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92D11" w:rsidRPr="00691154" w:rsidRDefault="00592D11" w:rsidP="00680A12">
            <w:pPr>
              <w:widowControl w:val="0"/>
              <w:jc w:val="right"/>
              <w:rPr>
                <w:rFonts w:asciiTheme="majorHAnsi" w:eastAsia="Open Sans Semibold" w:hAnsiTheme="majorHAnsi" w:cstheme="majorHAnsi"/>
                <w:color w:val="434343"/>
              </w:rPr>
            </w:pPr>
            <w:r w:rsidRPr="00691154">
              <w:rPr>
                <w:rFonts w:asciiTheme="majorHAnsi" w:eastAsia="Open Sans Semibold" w:hAnsiTheme="majorHAnsi" w:cstheme="majorHAnsi"/>
                <w:color w:val="434343"/>
              </w:rPr>
              <w:t>9,896</w:t>
            </w:r>
          </w:p>
        </w:tc>
      </w:tr>
    </w:tbl>
    <w:p w:rsidR="00592D11" w:rsidRPr="00691154" w:rsidRDefault="00592D11">
      <w:pPr>
        <w:rPr>
          <w:rFonts w:asciiTheme="majorHAnsi" w:hAnsiTheme="majorHAnsi" w:cstheme="majorHAnsi"/>
          <w:b/>
        </w:rPr>
      </w:pPr>
    </w:p>
    <w:p w:rsidR="00B25918" w:rsidRPr="00691154" w:rsidRDefault="00B25918">
      <w:pPr>
        <w:rPr>
          <w:rFonts w:asciiTheme="majorHAnsi" w:hAnsiTheme="majorHAnsi" w:cstheme="majorHAnsi"/>
        </w:rPr>
      </w:pPr>
    </w:p>
    <w:p w:rsidR="00B25918" w:rsidRPr="00691154" w:rsidRDefault="000F041B">
      <w:pPr>
        <w:rPr>
          <w:rFonts w:asciiTheme="majorHAnsi" w:hAnsiTheme="majorHAnsi" w:cstheme="majorHAnsi"/>
          <w:b/>
          <w:lang w:val="da-DK"/>
        </w:rPr>
      </w:pPr>
      <w:r w:rsidRPr="00691154">
        <w:rPr>
          <w:rFonts w:asciiTheme="majorHAnsi" w:hAnsiTheme="majorHAnsi" w:cstheme="majorHAnsi"/>
          <w:b/>
          <w:lang w:val="da-DK"/>
        </w:rPr>
        <w:t>Læs hele årsrapporten her:</w:t>
      </w:r>
      <w:r w:rsidR="0089133A" w:rsidRPr="00691154">
        <w:rPr>
          <w:rFonts w:asciiTheme="majorHAnsi" w:hAnsiTheme="majorHAnsi" w:cstheme="majorHAnsi"/>
          <w:b/>
          <w:lang w:val="da-DK"/>
        </w:rPr>
        <w:t xml:space="preserve"> </w:t>
      </w:r>
      <w:hyperlink r:id="rId4" w:history="1">
        <w:r w:rsidR="0089133A" w:rsidRPr="00691154">
          <w:rPr>
            <w:rStyle w:val="Hyperlink"/>
            <w:rFonts w:asciiTheme="majorHAnsi" w:hAnsiTheme="majorHAnsi" w:cstheme="majorHAnsi"/>
            <w:b/>
            <w:lang w:val="da-DK"/>
          </w:rPr>
          <w:t>https:/</w:t>
        </w:r>
        <w:r w:rsidR="0089133A" w:rsidRPr="00691154">
          <w:rPr>
            <w:rStyle w:val="Hyperlink"/>
            <w:rFonts w:asciiTheme="majorHAnsi" w:hAnsiTheme="majorHAnsi" w:cstheme="majorHAnsi"/>
            <w:b/>
            <w:lang w:val="da-DK"/>
          </w:rPr>
          <w:t>/</w:t>
        </w:r>
        <w:r w:rsidR="0089133A" w:rsidRPr="00691154">
          <w:rPr>
            <w:rStyle w:val="Hyperlink"/>
            <w:rFonts w:asciiTheme="majorHAnsi" w:hAnsiTheme="majorHAnsi" w:cstheme="majorHAnsi"/>
            <w:b/>
            <w:lang w:val="da-DK"/>
          </w:rPr>
          <w:t>bit.ly/2WLGEDB</w:t>
        </w:r>
      </w:hyperlink>
    </w:p>
    <w:p w:rsidR="00B25918" w:rsidRPr="00691154" w:rsidRDefault="000F041B">
      <w:pPr>
        <w:rPr>
          <w:rFonts w:asciiTheme="majorHAnsi" w:hAnsiTheme="majorHAnsi" w:cstheme="majorHAnsi"/>
          <w:lang w:val="da-DK"/>
        </w:rPr>
      </w:pPr>
      <w:r w:rsidRPr="00691154">
        <w:rPr>
          <w:rFonts w:asciiTheme="majorHAnsi" w:hAnsiTheme="majorHAnsi" w:cstheme="majorHAnsi"/>
          <w:lang w:val="da-DK"/>
        </w:rPr>
        <w:t xml:space="preserve"> </w:t>
      </w:r>
    </w:p>
    <w:sectPr w:rsidR="00B25918" w:rsidRPr="0069115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918"/>
    <w:rsid w:val="000F041B"/>
    <w:rsid w:val="00100169"/>
    <w:rsid w:val="0015085C"/>
    <w:rsid w:val="00283AEF"/>
    <w:rsid w:val="00592D11"/>
    <w:rsid w:val="00691154"/>
    <w:rsid w:val="0089133A"/>
    <w:rsid w:val="008C321A"/>
    <w:rsid w:val="00B25918"/>
    <w:rsid w:val="00B448B4"/>
    <w:rsid w:val="00C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A695"/>
  <w15:docId w15:val="{E56B5663-DC1E-BC47-85AB-44D55C51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89133A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9133A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913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2WLGE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Office-bruger</cp:lastModifiedBy>
  <cp:revision>8</cp:revision>
  <dcterms:created xsi:type="dcterms:W3CDTF">2020-05-20T07:39:00Z</dcterms:created>
  <dcterms:modified xsi:type="dcterms:W3CDTF">2020-05-20T07:58:00Z</dcterms:modified>
</cp:coreProperties>
</file>