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B6C9" w14:textId="6ED3AA53" w:rsidR="002833A4" w:rsidRPr="00617F9D" w:rsidRDefault="001453F5" w:rsidP="005E5C21">
      <w:pPr>
        <w:pStyle w:val="NormalWeb"/>
        <w:spacing w:before="0" w:beforeAutospacing="0" w:line="270" w:lineRule="atLeast"/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</w:pPr>
      <w:r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PRESS RELEASE </w:t>
      </w:r>
      <w:r w:rsidR="006A5EE4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– </w:t>
      </w:r>
      <w:r w:rsidR="00984311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Bostads</w:t>
      </w:r>
      <w:r w:rsidR="00082A59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rättsföreningar kan spara över 3</w:t>
      </w:r>
      <w:r w:rsidR="00984311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 miljard</w:t>
      </w:r>
      <w:r w:rsidR="00082A59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>er kronor</w:t>
      </w:r>
      <w:r w:rsidR="00984311" w:rsidRPr="00617F9D">
        <w:rPr>
          <w:rStyle w:val="Strong"/>
          <w:rFonts w:ascii="Helvetica Neue" w:hAnsi="Helvetica Neue"/>
          <w:color w:val="555555"/>
          <w:sz w:val="24"/>
          <w:szCs w:val="24"/>
          <w:lang w:val="sv-SE"/>
        </w:rPr>
        <w:t xml:space="preserve"> på att förhandla om sina föreningslån</w:t>
      </w:r>
    </w:p>
    <w:p w14:paraId="23302959" w14:textId="10C472D8" w:rsidR="00984311" w:rsidRPr="00617F9D" w:rsidRDefault="00932662" w:rsidP="0016367F">
      <w:pPr>
        <w:spacing w:after="100" w:afterAutospacing="1" w:line="270" w:lineRule="atLeast"/>
        <w:rPr>
          <w:rFonts w:ascii="Helvetica Neue" w:hAnsi="Helvetica Neue" w:cs="Times New Roman"/>
          <w:b/>
          <w:bCs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I en färsk undersökning granskar allabrf.se </w:t>
      </w:r>
      <w:r w:rsidR="00984311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>räntevillkor</w:t>
      </w:r>
      <w:r w:rsidR="00B818B8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>en</w:t>
      </w:r>
      <w:r w:rsidR="00984311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hos bostadsrättsföreningar.</w:t>
      </w:r>
      <w:r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Resultatet visar att det finns </w:t>
      </w:r>
      <w:r w:rsidR="00317E30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>stor potential för bostadsrättsföreningar</w:t>
      </w:r>
      <w:r w:rsidR="00984311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att sänka räntekostnaderna. </w:t>
      </w:r>
      <w:r w:rsidR="00DF3619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Under 2015 var effektiv ränta för föreningar </w:t>
      </w:r>
      <w:r w:rsidR="00984311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2,77%. </w:t>
      </w:r>
      <w:r w:rsidR="00E7540B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>B</w:t>
      </w:r>
      <w:r w:rsidR="00984311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ankernas räntemarginaler (utlåningsränta kontra inlåningsränta) </w:t>
      </w:r>
      <w:r w:rsidR="00E7540B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på föreningslån har </w:t>
      </w:r>
      <w:r w:rsidR="006331B4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>växt kraftigt de senaste åren.</w:t>
      </w:r>
      <w:r w:rsidR="00E7540B" w:rsidRPr="00617F9D">
        <w:rPr>
          <w:rFonts w:ascii="Helvetica Neue" w:hAnsi="Helvetica Neue" w:cs="Times New Roman"/>
          <w:b/>
          <w:bCs/>
          <w:color w:val="555555"/>
          <w:sz w:val="20"/>
          <w:szCs w:val="20"/>
        </w:rPr>
        <w:t xml:space="preserve"> </w:t>
      </w:r>
    </w:p>
    <w:p w14:paraId="02D31AF7" w14:textId="3A9EFE2B" w:rsidR="00932662" w:rsidRPr="00617F9D" w:rsidRDefault="00932662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allabrf.se har Sveriges största databas med ekonomisk information om bostadsrättsföreningar. </w:t>
      </w:r>
      <w:r w:rsidR="00102479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Det senaste året </w:t>
      </w:r>
      <w:r w:rsidR="007967F3" w:rsidRPr="00617F9D">
        <w:rPr>
          <w:rFonts w:ascii="Helvetica Neue" w:hAnsi="Helvetica Neue" w:cs="Times New Roman"/>
          <w:color w:val="555555"/>
          <w:sz w:val="20"/>
          <w:szCs w:val="20"/>
        </w:rPr>
        <w:t>har a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llabrf.se </w:t>
      </w:r>
      <w:r w:rsidR="007967F3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har 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gjort en rad olika undersökningar om föreningsekonomi genom att belysa viktiga ekonomiska faktorer hos en 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>bostadsrätts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förening. </w:t>
      </w:r>
      <w:r w:rsidR="00462B54" w:rsidRPr="00617F9D">
        <w:rPr>
          <w:rFonts w:ascii="Helvetica Neue" w:hAnsi="Helvetica Neue" w:cs="Times New Roman"/>
          <w:color w:val="555555"/>
          <w:sz w:val="20"/>
          <w:szCs w:val="20"/>
        </w:rPr>
        <w:t>Räntekostnaderna är ofta en stor kostnadspost och något som styrelsen i bostadsrättsföreningen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</w:t>
      </w:r>
      <w:r w:rsidR="00462B54" w:rsidRPr="00617F9D">
        <w:rPr>
          <w:rFonts w:ascii="Helvetica Neue" w:hAnsi="Helvetica Neue" w:cs="Times New Roman"/>
          <w:color w:val="555555"/>
          <w:sz w:val="20"/>
          <w:szCs w:val="20"/>
        </w:rPr>
        <w:t>kan påverka</w:t>
      </w:r>
      <w:r w:rsidR="003C00F7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genom att förhandla om föreningens lån</w:t>
      </w:r>
      <w:r w:rsidR="00462B54" w:rsidRPr="00617F9D">
        <w:rPr>
          <w:rFonts w:ascii="Helvetica Neue" w:hAnsi="Helvetica Neue" w:cs="Times New Roman"/>
          <w:color w:val="555555"/>
          <w:sz w:val="20"/>
          <w:szCs w:val="20"/>
        </w:rPr>
        <w:t>.</w:t>
      </w:r>
    </w:p>
    <w:p w14:paraId="77BE3963" w14:textId="3C256415" w:rsidR="00932662" w:rsidRPr="00617F9D" w:rsidRDefault="00932662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- </w:t>
      </w:r>
      <w:r w:rsidR="00462B54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Vi ser att bankernas räntemarginaler växer, vilket tyder på att </w:t>
      </w:r>
      <w:r w:rsidR="00514C71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bostadsrättsföreningar inte </w:t>
      </w:r>
      <w:r w:rsidR="00437866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orkat </w:t>
      </w:r>
      <w:r w:rsidR="00514C71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med att förhandla om </w:t>
      </w:r>
      <w:r w:rsidR="004C07C0">
        <w:rPr>
          <w:rFonts w:ascii="Helvetica Neue" w:hAnsi="Helvetica Neue" w:cs="Times New Roman"/>
          <w:i/>
          <w:iCs/>
          <w:color w:val="555555"/>
          <w:sz w:val="20"/>
          <w:szCs w:val="20"/>
        </w:rPr>
        <w:t>sina</w:t>
      </w:r>
      <w:r w:rsidR="00514C71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lån.</w:t>
      </w:r>
      <w:r w:rsidR="007967F3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Det finns en stor potential för </w:t>
      </w:r>
      <w:r w:rsidR="00102479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styrelser</w:t>
      </w:r>
      <w:r w:rsidR="007967F3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att sänka </w:t>
      </w:r>
      <w:r w:rsidR="0008756B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sina </w:t>
      </w:r>
      <w:r w:rsidR="00102479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ränte</w:t>
      </w:r>
      <w:r w:rsidR="007967F3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kostnader</w:t>
      </w:r>
      <w:r w:rsidR="00FC405C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. </w:t>
      </w:r>
      <w:r w:rsidR="003C00F7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Idag </w:t>
      </w:r>
      <w:r w:rsidR="0014706C">
        <w:rPr>
          <w:rFonts w:ascii="Helvetica Neue" w:hAnsi="Helvetica Neue" w:cs="Times New Roman"/>
          <w:i/>
          <w:iCs/>
          <w:color w:val="555555"/>
          <w:sz w:val="20"/>
          <w:szCs w:val="20"/>
        </w:rPr>
        <w:t>ser vi</w:t>
      </w:r>
      <w:r w:rsidR="00FC405C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för</w:t>
      </w:r>
      <w:r w:rsidR="00C72552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eningar som </w:t>
      </w:r>
      <w:r w:rsidR="00233A00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lyckats </w:t>
      </w:r>
      <w:r w:rsidR="004C07C0">
        <w:rPr>
          <w:rFonts w:ascii="Helvetica Neue" w:hAnsi="Helvetica Neue" w:cs="Times New Roman"/>
          <w:i/>
          <w:iCs/>
          <w:color w:val="555555"/>
          <w:sz w:val="20"/>
          <w:szCs w:val="20"/>
        </w:rPr>
        <w:t>komma</w:t>
      </w:r>
      <w:r w:rsidR="00233A00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ner</w:t>
      </w:r>
      <w:r w:rsidR="00C72552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</w:t>
      </w:r>
      <w:r w:rsidR="004C07C0">
        <w:rPr>
          <w:rFonts w:ascii="Helvetica Neue" w:hAnsi="Helvetica Neue" w:cs="Times New Roman"/>
          <w:i/>
          <w:iCs/>
          <w:color w:val="555555"/>
          <w:sz w:val="20"/>
          <w:szCs w:val="20"/>
        </w:rPr>
        <w:t>till en</w:t>
      </w:r>
      <w:r w:rsidR="00B24FEE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</w:t>
      </w:r>
      <w:r w:rsidR="00233A00">
        <w:rPr>
          <w:rFonts w:ascii="Helvetica Neue" w:hAnsi="Helvetica Neue" w:cs="Times New Roman"/>
          <w:i/>
          <w:iCs/>
          <w:color w:val="555555"/>
          <w:sz w:val="20"/>
          <w:szCs w:val="20"/>
        </w:rPr>
        <w:t>ränta</w:t>
      </w:r>
      <w:r w:rsidR="00892488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 på </w:t>
      </w:r>
      <w:r w:rsidR="00CA48DB">
        <w:rPr>
          <w:rFonts w:ascii="Helvetica Neue" w:hAnsi="Helvetica Neue" w:cs="Times New Roman"/>
          <w:i/>
          <w:iCs/>
          <w:color w:val="555555"/>
          <w:sz w:val="20"/>
          <w:szCs w:val="20"/>
        </w:rPr>
        <w:t>nedåt 0,1</w:t>
      </w:r>
      <w:r w:rsidR="00C72552"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%</w:t>
      </w:r>
      <w:r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>,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> säger Hampus Dahlstedt, medgrundare allabrf.se</w:t>
      </w:r>
    </w:p>
    <w:p w14:paraId="31273423" w14:textId="12C23058" w:rsidR="005B770D" w:rsidRPr="00617F9D" w:rsidRDefault="00082A59" w:rsidP="00FC405C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Den totala lånestocken för bostadsrättsföreningar uppgår till drygt 300 miljarder kronor. </w:t>
      </w:r>
      <w:r w:rsidR="00C72552" w:rsidRPr="00617F9D">
        <w:rPr>
          <w:rFonts w:ascii="Helvetica Neue" w:hAnsi="Helvetica Neue" w:cs="Times New Roman"/>
          <w:color w:val="555555"/>
          <w:sz w:val="20"/>
          <w:szCs w:val="20"/>
        </w:rPr>
        <w:t>Idag är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den effektiva räntan för bosta</w:t>
      </w:r>
      <w:r w:rsidR="00C72552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dsrättsföreningar </w:t>
      </w:r>
      <w:r w:rsidR="005B770D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2,55%. 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>Om Sveriges bostadsrättsföreningar i genomsnitt s</w:t>
      </w:r>
      <w:r w:rsidR="001857CE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kulle sänka sin effektiva räntenivå 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>till 1,5% innebär det en tot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>al besparingspotential på över 3</w:t>
      </w:r>
      <w:r w:rsidR="00A171C9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miljard kronor</w:t>
      </w:r>
      <w:r w:rsidR="00FC405C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2053"/>
        <w:gridCol w:w="1427"/>
        <w:gridCol w:w="1240"/>
      </w:tblGrid>
      <w:tr w:rsidR="009000D3" w:rsidRPr="00617F9D" w14:paraId="62BEE7A3" w14:textId="77777777" w:rsidTr="00832641">
        <w:trPr>
          <w:trHeight w:val="300"/>
        </w:trPr>
        <w:tc>
          <w:tcPr>
            <w:tcW w:w="1316" w:type="dxa"/>
            <w:noWrap/>
            <w:hideMark/>
          </w:tcPr>
          <w:p w14:paraId="16574256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  <w:noWrap/>
            <w:hideMark/>
          </w:tcPr>
          <w:p w14:paraId="2C98A58D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>Effektiv ränta BRF föreningslån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hideMark/>
          </w:tcPr>
          <w:p w14:paraId="7713D08F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>Riksbanken Reporänta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hideMark/>
          </w:tcPr>
          <w:p w14:paraId="4E3502F2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 xml:space="preserve">3-mån listpris </w:t>
            </w:r>
          </w:p>
        </w:tc>
      </w:tr>
      <w:tr w:rsidR="009000D3" w:rsidRPr="00617F9D" w14:paraId="0958D6ED" w14:textId="77777777" w:rsidTr="00832641">
        <w:trPr>
          <w:trHeight w:val="300"/>
        </w:trPr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50C93D5E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2016</w:t>
            </w:r>
          </w:p>
        </w:tc>
        <w:tc>
          <w:tcPr>
            <w:tcW w:w="2053" w:type="dxa"/>
            <w:noWrap/>
            <w:hideMark/>
          </w:tcPr>
          <w:p w14:paraId="5344213B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2,55%</w:t>
            </w:r>
          </w:p>
        </w:tc>
        <w:tc>
          <w:tcPr>
            <w:tcW w:w="1427" w:type="dxa"/>
            <w:noWrap/>
            <w:hideMark/>
          </w:tcPr>
          <w:p w14:paraId="77BBA55A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-0,42%</w:t>
            </w:r>
          </w:p>
        </w:tc>
        <w:tc>
          <w:tcPr>
            <w:tcW w:w="1240" w:type="dxa"/>
            <w:noWrap/>
            <w:hideMark/>
          </w:tcPr>
          <w:p w14:paraId="74C3747D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1,97%</w:t>
            </w:r>
          </w:p>
        </w:tc>
      </w:tr>
      <w:tr w:rsidR="009000D3" w:rsidRPr="00617F9D" w14:paraId="5ADACB93" w14:textId="77777777" w:rsidTr="00832641">
        <w:trPr>
          <w:trHeight w:val="300"/>
        </w:trPr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3039EAC9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2053" w:type="dxa"/>
            <w:noWrap/>
            <w:hideMark/>
          </w:tcPr>
          <w:p w14:paraId="38F0ECB3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2,77%</w:t>
            </w:r>
          </w:p>
        </w:tc>
        <w:tc>
          <w:tcPr>
            <w:tcW w:w="1427" w:type="dxa"/>
            <w:noWrap/>
            <w:hideMark/>
          </w:tcPr>
          <w:p w14:paraId="0DB5540A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-0,25%</w:t>
            </w:r>
          </w:p>
        </w:tc>
        <w:tc>
          <w:tcPr>
            <w:tcW w:w="1240" w:type="dxa"/>
            <w:noWrap/>
            <w:hideMark/>
          </w:tcPr>
          <w:p w14:paraId="0065C247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2,07%</w:t>
            </w:r>
          </w:p>
        </w:tc>
      </w:tr>
      <w:tr w:rsidR="009000D3" w:rsidRPr="00617F9D" w14:paraId="6864A7EC" w14:textId="77777777" w:rsidTr="00832641">
        <w:trPr>
          <w:trHeight w:val="300"/>
        </w:trPr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16C09F92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2053" w:type="dxa"/>
            <w:noWrap/>
            <w:hideMark/>
          </w:tcPr>
          <w:p w14:paraId="76B66BBE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3,03%</w:t>
            </w:r>
          </w:p>
        </w:tc>
        <w:tc>
          <w:tcPr>
            <w:tcW w:w="1427" w:type="dxa"/>
            <w:noWrap/>
            <w:hideMark/>
          </w:tcPr>
          <w:p w14:paraId="4F5051B5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0,46%</w:t>
            </w:r>
          </w:p>
        </w:tc>
        <w:tc>
          <w:tcPr>
            <w:tcW w:w="1240" w:type="dxa"/>
            <w:noWrap/>
            <w:hideMark/>
          </w:tcPr>
          <w:p w14:paraId="575B65FE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2,45%</w:t>
            </w:r>
          </w:p>
        </w:tc>
      </w:tr>
      <w:tr w:rsidR="009000D3" w:rsidRPr="00617F9D" w14:paraId="0B6D8BDB" w14:textId="77777777" w:rsidTr="00832641">
        <w:trPr>
          <w:trHeight w:val="300"/>
        </w:trPr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788B0317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2013</w:t>
            </w:r>
          </w:p>
        </w:tc>
        <w:tc>
          <w:tcPr>
            <w:tcW w:w="2053" w:type="dxa"/>
            <w:noWrap/>
            <w:hideMark/>
          </w:tcPr>
          <w:p w14:paraId="08027AF3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3,25%</w:t>
            </w:r>
          </w:p>
        </w:tc>
        <w:tc>
          <w:tcPr>
            <w:tcW w:w="1427" w:type="dxa"/>
            <w:noWrap/>
            <w:hideMark/>
          </w:tcPr>
          <w:p w14:paraId="62337DD6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0,99%</w:t>
            </w:r>
          </w:p>
        </w:tc>
        <w:tc>
          <w:tcPr>
            <w:tcW w:w="1240" w:type="dxa"/>
            <w:noWrap/>
            <w:hideMark/>
          </w:tcPr>
          <w:p w14:paraId="6C6F7878" w14:textId="77777777" w:rsidR="009000D3" w:rsidRPr="00617F9D" w:rsidRDefault="009000D3" w:rsidP="00832641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2,87%</w:t>
            </w:r>
          </w:p>
        </w:tc>
      </w:tr>
    </w:tbl>
    <w:p w14:paraId="138FFFDB" w14:textId="129AC2E3" w:rsidR="009000D3" w:rsidRPr="00617F9D" w:rsidRDefault="00832641" w:rsidP="00FC405C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>
        <w:rPr>
          <w:rFonts w:ascii="Helvetica Neue" w:hAnsi="Helvetica Neue" w:cs="Times New Roman"/>
          <w:color w:val="555555"/>
          <w:sz w:val="20"/>
          <w:szCs w:val="20"/>
        </w:rPr>
        <w:br w:type="textWrapping" w:clear="all"/>
      </w:r>
      <w:r w:rsidR="009000D3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(källa: </w:t>
      </w:r>
      <w:r>
        <w:rPr>
          <w:rFonts w:ascii="Helvetica Neue" w:hAnsi="Helvetica Neue" w:cs="Times New Roman"/>
          <w:color w:val="555555"/>
          <w:sz w:val="20"/>
          <w:szCs w:val="20"/>
        </w:rPr>
        <w:t>Riksbank.se</w:t>
      </w:r>
      <w:r w:rsidR="00166AC1">
        <w:rPr>
          <w:rFonts w:ascii="Helvetica Neue" w:hAnsi="Helvetica Neue" w:cs="Times New Roman"/>
          <w:color w:val="555555"/>
          <w:sz w:val="20"/>
          <w:szCs w:val="20"/>
        </w:rPr>
        <w:t>,</w:t>
      </w:r>
      <w:bookmarkStart w:id="0" w:name="_GoBack"/>
      <w:bookmarkEnd w:id="0"/>
      <w:r w:rsidR="00166AC1">
        <w:rPr>
          <w:rFonts w:ascii="Helvetica Neue" w:hAnsi="Helvetica Neue" w:cs="Times New Roman"/>
          <w:color w:val="555555"/>
          <w:sz w:val="20"/>
          <w:szCs w:val="20"/>
        </w:rPr>
        <w:t xml:space="preserve"> </w:t>
      </w:r>
      <w:r w:rsidR="009000D3" w:rsidRPr="00617F9D">
        <w:rPr>
          <w:rFonts w:ascii="Helvetica Neue" w:hAnsi="Helvetica Neue" w:cs="Times New Roman"/>
          <w:color w:val="555555"/>
          <w:sz w:val="20"/>
          <w:szCs w:val="20"/>
        </w:rPr>
        <w:t>2016-05-30)</w:t>
      </w:r>
    </w:p>
    <w:p w14:paraId="74FDAA6E" w14:textId="4CFCF076" w:rsidR="005B770D" w:rsidRPr="00617F9D" w:rsidRDefault="005B770D" w:rsidP="00FC405C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- Det är </w:t>
      </w:r>
      <w:r w:rsidRPr="00617F9D">
        <w:rPr>
          <w:rFonts w:ascii="Helvetica Neue" w:hAnsi="Helvetica Neue" w:cs="Times New Roman"/>
          <w:i/>
          <w:color w:val="555555"/>
          <w:sz w:val="20"/>
          <w:szCs w:val="20"/>
        </w:rPr>
        <w:t xml:space="preserve">anmärkningsvärt att privatpersoner med betydligt större belåningsgrad och riskprofil ofta har betydligt bättre villkor än de bostadsrättsföreningar de bor i. Det beror </w:t>
      </w:r>
      <w:r w:rsidR="00D73107">
        <w:rPr>
          <w:rFonts w:ascii="Helvetica Neue" w:hAnsi="Helvetica Neue" w:cs="Times New Roman"/>
          <w:i/>
          <w:color w:val="555555"/>
          <w:sz w:val="20"/>
          <w:szCs w:val="20"/>
        </w:rPr>
        <w:t>dels på</w:t>
      </w:r>
      <w:r w:rsidRPr="00617F9D">
        <w:rPr>
          <w:rFonts w:ascii="Helvetica Neue" w:hAnsi="Helvetica Neue" w:cs="Times New Roman"/>
          <w:i/>
          <w:color w:val="555555"/>
          <w:sz w:val="20"/>
          <w:szCs w:val="20"/>
        </w:rPr>
        <w:t xml:space="preserve"> att </w:t>
      </w:r>
      <w:r w:rsidR="00D73107">
        <w:rPr>
          <w:rFonts w:ascii="Helvetica Neue" w:hAnsi="Helvetica Neue" w:cs="Times New Roman"/>
          <w:i/>
          <w:color w:val="555555"/>
          <w:sz w:val="20"/>
          <w:szCs w:val="20"/>
        </w:rPr>
        <w:t>man</w:t>
      </w:r>
      <w:r w:rsidRPr="00617F9D">
        <w:rPr>
          <w:rFonts w:ascii="Helvetica Neue" w:hAnsi="Helvetica Neue" w:cs="Times New Roman"/>
          <w:i/>
          <w:color w:val="555555"/>
          <w:sz w:val="20"/>
          <w:szCs w:val="20"/>
        </w:rPr>
        <w:t xml:space="preserve"> inte konkurrensutsätter sina upphandlingar till samma grad </w:t>
      </w:r>
      <w:r w:rsidR="00D73107">
        <w:rPr>
          <w:rFonts w:ascii="Helvetica Neue" w:hAnsi="Helvetica Neue" w:cs="Times New Roman"/>
          <w:i/>
          <w:color w:val="555555"/>
          <w:sz w:val="20"/>
          <w:szCs w:val="20"/>
        </w:rPr>
        <w:t>dels på</w:t>
      </w:r>
      <w:r w:rsidRPr="00617F9D">
        <w:rPr>
          <w:rFonts w:ascii="Helvetica Neue" w:hAnsi="Helvetica Neue" w:cs="Times New Roman"/>
          <w:i/>
          <w:color w:val="555555"/>
          <w:sz w:val="20"/>
          <w:szCs w:val="20"/>
        </w:rPr>
        <w:t xml:space="preserve"> att man av gammal vana har bundit upp </w:t>
      </w:r>
      <w:r w:rsidR="00D73107">
        <w:rPr>
          <w:rFonts w:ascii="Helvetica Neue" w:hAnsi="Helvetica Neue" w:cs="Times New Roman"/>
          <w:i/>
          <w:color w:val="555555"/>
          <w:sz w:val="20"/>
          <w:szCs w:val="20"/>
        </w:rPr>
        <w:t>lånen</w:t>
      </w:r>
      <w:r w:rsidRPr="00617F9D">
        <w:rPr>
          <w:rFonts w:ascii="Helvetica Neue" w:hAnsi="Helvetica Neue" w:cs="Times New Roman"/>
          <w:i/>
          <w:color w:val="555555"/>
          <w:sz w:val="20"/>
          <w:szCs w:val="20"/>
        </w:rPr>
        <w:t xml:space="preserve"> under mycket lång tid</w:t>
      </w:r>
      <w:r w:rsidRPr="00617F9D">
        <w:rPr>
          <w:rFonts w:ascii="Helvetica Neue" w:hAnsi="Helvetica Neue" w:cs="Times New Roman"/>
          <w:i/>
          <w:iCs/>
          <w:color w:val="555555"/>
          <w:sz w:val="20"/>
          <w:szCs w:val="20"/>
        </w:rPr>
        <w:t xml:space="preserve">, säger Hampus Dahlstedt, </w:t>
      </w:r>
      <w:r w:rsidRPr="00617F9D">
        <w:rPr>
          <w:rFonts w:ascii="Helvetica Neue" w:hAnsi="Helvetica Neue" w:cs="Times New Roman"/>
          <w:iCs/>
          <w:color w:val="555555"/>
          <w:sz w:val="20"/>
          <w:szCs w:val="20"/>
        </w:rPr>
        <w:t>medgrundare allarbrf.se</w:t>
      </w:r>
    </w:p>
    <w:p w14:paraId="3AE1BD80" w14:textId="2F61958B" w:rsidR="00875D41" w:rsidRDefault="00875D41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875D41">
        <w:rPr>
          <w:rFonts w:ascii="Helvetica Neue" w:hAnsi="Helvetica Neue" w:cs="Times New Roman"/>
          <w:color w:val="555555"/>
          <w:sz w:val="20"/>
          <w:szCs w:val="20"/>
        </w:rPr>
        <w:t>För en specifik bostadsrättsförening med 25 miljoner kronor i lån innebär en räntesänkning på 1 % 250 000 kronor mindre i räntekostnader per år. För boende i en normalstor lägenhet kan det innebära ungefär 500 kr lägre månadsavgift. Men det är upp till styrelsen och stämman att bestämma om man vill sänka månadsavgifte</w:t>
      </w:r>
      <w:r>
        <w:rPr>
          <w:rFonts w:ascii="Helvetica Neue" w:hAnsi="Helvetica Neue" w:cs="Times New Roman"/>
          <w:color w:val="555555"/>
          <w:sz w:val="20"/>
          <w:szCs w:val="20"/>
        </w:rPr>
        <w:t>n eller investera i fastigheten</w:t>
      </w:r>
      <w:r w:rsidR="00E71AA4">
        <w:rPr>
          <w:rFonts w:ascii="Helvetica Neue" w:hAnsi="Helvetica Neue" w:cs="Times New Roman"/>
          <w:color w:val="555555"/>
          <w:sz w:val="20"/>
          <w:szCs w:val="20"/>
        </w:rPr>
        <w:t>.</w:t>
      </w:r>
    </w:p>
    <w:p w14:paraId="2C08E194" w14:textId="77777777" w:rsidR="00875D41" w:rsidRDefault="00875D41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</w:p>
    <w:p w14:paraId="6BC2A356" w14:textId="77777777" w:rsidR="00875D41" w:rsidRDefault="00875D41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</w:p>
    <w:p w14:paraId="2500F967" w14:textId="77777777" w:rsidR="00875D41" w:rsidRPr="00617F9D" w:rsidRDefault="00875D41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418"/>
        <w:gridCol w:w="2348"/>
      </w:tblGrid>
      <w:tr w:rsidR="00EB2F6E" w:rsidRPr="00617F9D" w14:paraId="7C72D649" w14:textId="77777777" w:rsidTr="00FB1E59">
        <w:trPr>
          <w:trHeight w:val="318"/>
        </w:trPr>
        <w:tc>
          <w:tcPr>
            <w:tcW w:w="1668" w:type="dxa"/>
            <w:gridSpan w:val="2"/>
            <w:vMerge w:val="restart"/>
            <w:noWrap/>
            <w:hideMark/>
          </w:tcPr>
          <w:p w14:paraId="50CF9011" w14:textId="6ED2101E" w:rsidR="00EB2F6E" w:rsidRPr="00617F9D" w:rsidRDefault="008659E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lastRenderedPageBreak/>
              <w:t>Sänkning</w:t>
            </w:r>
            <w:r w:rsidR="00CB618C"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 xml:space="preserve"> av månadsavgift</w:t>
            </w:r>
          </w:p>
        </w:tc>
        <w:tc>
          <w:tcPr>
            <w:tcW w:w="5608" w:type="dxa"/>
            <w:gridSpan w:val="3"/>
            <w:shd w:val="clear" w:color="auto" w:fill="D9D9D9" w:themeFill="background1" w:themeFillShade="D9"/>
            <w:noWrap/>
            <w:hideMark/>
          </w:tcPr>
          <w:p w14:paraId="554969F6" w14:textId="5CED0395" w:rsidR="00EB2F6E" w:rsidRPr="00617F9D" w:rsidRDefault="00EB2F6E" w:rsidP="00EB2F6E">
            <w:pPr>
              <w:spacing w:after="100" w:afterAutospacing="1" w:line="270" w:lineRule="atLeast"/>
              <w:jc w:val="center"/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>Storlek på</w:t>
            </w:r>
            <w:r w:rsidR="00FB1E59"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 xml:space="preserve"> förenings</w:t>
            </w:r>
            <w:r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>lån</w:t>
            </w:r>
            <w:r w:rsidR="00FB1E59" w:rsidRPr="00617F9D">
              <w:rPr>
                <w:rFonts w:ascii="Helvetica Neue" w:hAnsi="Helvetica Neue" w:cs="Times New Roman"/>
                <w:b/>
                <w:bCs/>
                <w:color w:val="555555"/>
                <w:sz w:val="20"/>
                <w:szCs w:val="20"/>
              </w:rPr>
              <w:t xml:space="preserve"> (kronor)</w:t>
            </w:r>
          </w:p>
        </w:tc>
      </w:tr>
      <w:tr w:rsidR="00EB2F6E" w:rsidRPr="00617F9D" w14:paraId="54BB0488" w14:textId="77777777" w:rsidTr="00FB1E59">
        <w:trPr>
          <w:trHeight w:val="300"/>
        </w:trPr>
        <w:tc>
          <w:tcPr>
            <w:tcW w:w="1668" w:type="dxa"/>
            <w:gridSpan w:val="2"/>
            <w:vMerge/>
            <w:noWrap/>
            <w:textDirection w:val="btLr"/>
          </w:tcPr>
          <w:p w14:paraId="2566E634" w14:textId="7FD61FCA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bottom"/>
            <w:hideMark/>
          </w:tcPr>
          <w:p w14:paraId="779A107C" w14:textId="0B373F5D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10 000 000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6C775CB4" w14:textId="7F91D8C0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25 000 000</w:t>
            </w:r>
          </w:p>
        </w:tc>
        <w:tc>
          <w:tcPr>
            <w:tcW w:w="2348" w:type="dxa"/>
            <w:shd w:val="clear" w:color="auto" w:fill="D9D9D9" w:themeFill="background1" w:themeFillShade="D9"/>
            <w:noWrap/>
            <w:vAlign w:val="bottom"/>
            <w:hideMark/>
          </w:tcPr>
          <w:p w14:paraId="3A2C68BE" w14:textId="2BEF7BDF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50 000 000</w:t>
            </w:r>
          </w:p>
        </w:tc>
      </w:tr>
      <w:tr w:rsidR="00EB2F6E" w:rsidRPr="00617F9D" w14:paraId="1F225D95" w14:textId="77777777" w:rsidTr="00FB1E59">
        <w:trPr>
          <w:trHeight w:val="300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textDirection w:val="btLr"/>
          </w:tcPr>
          <w:p w14:paraId="25A9C87F" w14:textId="2550B291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Helvetica Neue" w:hAnsi="Helvetica Neue" w:cs="Times New Roman"/>
                <w:color w:val="555555"/>
                <w:sz w:val="20"/>
                <w:szCs w:val="20"/>
              </w:rPr>
              <w:t>Ränte- sänkning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14:paraId="7D7D89F9" w14:textId="512D3428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0,50%</w:t>
            </w:r>
          </w:p>
        </w:tc>
        <w:tc>
          <w:tcPr>
            <w:tcW w:w="1842" w:type="dxa"/>
            <w:noWrap/>
            <w:vAlign w:val="bottom"/>
            <w:hideMark/>
          </w:tcPr>
          <w:p w14:paraId="54230D7E" w14:textId="5EAB1849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97</w:t>
            </w:r>
            <w:r w:rsidR="00CB618C" w:rsidRPr="00617F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noWrap/>
            <w:vAlign w:val="bottom"/>
            <w:hideMark/>
          </w:tcPr>
          <w:p w14:paraId="5FC97450" w14:textId="358FC6C4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348" w:type="dxa"/>
            <w:noWrap/>
            <w:vAlign w:val="bottom"/>
            <w:hideMark/>
          </w:tcPr>
          <w:p w14:paraId="4E7FFD39" w14:textId="297033BE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</w:tr>
      <w:tr w:rsidR="00EB2F6E" w:rsidRPr="00617F9D" w14:paraId="5245DBEB" w14:textId="77777777" w:rsidTr="00FB1E59">
        <w:trPr>
          <w:trHeight w:val="300"/>
        </w:trPr>
        <w:tc>
          <w:tcPr>
            <w:tcW w:w="675" w:type="dxa"/>
            <w:vMerge/>
            <w:shd w:val="clear" w:color="auto" w:fill="D9D9D9" w:themeFill="background1" w:themeFillShade="D9"/>
            <w:noWrap/>
          </w:tcPr>
          <w:p w14:paraId="046CE9DC" w14:textId="612B3A41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14:paraId="61545065" w14:textId="02533C0E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842" w:type="dxa"/>
            <w:noWrap/>
            <w:vAlign w:val="bottom"/>
            <w:hideMark/>
          </w:tcPr>
          <w:p w14:paraId="7A9D2AB9" w14:textId="2B00AE8B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418" w:type="dxa"/>
            <w:noWrap/>
            <w:vAlign w:val="bottom"/>
            <w:hideMark/>
          </w:tcPr>
          <w:p w14:paraId="7A7CFAF5" w14:textId="085A14C2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2348" w:type="dxa"/>
            <w:noWrap/>
            <w:vAlign w:val="bottom"/>
            <w:hideMark/>
          </w:tcPr>
          <w:p w14:paraId="27B47DAB" w14:textId="2A6CAC8B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</w:tr>
      <w:tr w:rsidR="00EB2F6E" w:rsidRPr="00617F9D" w14:paraId="3D40639F" w14:textId="77777777" w:rsidTr="00FB1E59">
        <w:trPr>
          <w:trHeight w:val="300"/>
        </w:trPr>
        <w:tc>
          <w:tcPr>
            <w:tcW w:w="675" w:type="dxa"/>
            <w:vMerge/>
            <w:shd w:val="clear" w:color="auto" w:fill="D9D9D9" w:themeFill="background1" w:themeFillShade="D9"/>
            <w:noWrap/>
          </w:tcPr>
          <w:p w14:paraId="5D129532" w14:textId="7975228F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14:paraId="2CF27C4D" w14:textId="530BFE57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1,50%</w:t>
            </w:r>
          </w:p>
        </w:tc>
        <w:tc>
          <w:tcPr>
            <w:tcW w:w="1842" w:type="dxa"/>
            <w:noWrap/>
            <w:vAlign w:val="bottom"/>
            <w:hideMark/>
          </w:tcPr>
          <w:p w14:paraId="6D976758" w14:textId="5E6C71F6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418" w:type="dxa"/>
            <w:noWrap/>
            <w:vAlign w:val="bottom"/>
            <w:hideMark/>
          </w:tcPr>
          <w:p w14:paraId="64647ED9" w14:textId="608963C9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2348" w:type="dxa"/>
            <w:noWrap/>
            <w:vAlign w:val="bottom"/>
            <w:hideMark/>
          </w:tcPr>
          <w:p w14:paraId="7E63299D" w14:textId="7213E21B" w:rsidR="00EB2F6E" w:rsidRPr="00617F9D" w:rsidRDefault="00EB2F6E" w:rsidP="00EB2F6E">
            <w:pPr>
              <w:spacing w:after="100" w:afterAutospacing="1" w:line="270" w:lineRule="atLeast"/>
              <w:rPr>
                <w:rFonts w:ascii="Helvetica Neue" w:hAnsi="Helvetica Neue" w:cs="Times New Roman"/>
                <w:color w:val="555555"/>
                <w:sz w:val="20"/>
                <w:szCs w:val="20"/>
              </w:rPr>
            </w:pPr>
            <w:r w:rsidRPr="00617F9D">
              <w:rPr>
                <w:rFonts w:ascii="Calibri" w:eastAsia="Times New Roman" w:hAnsi="Calibri" w:cs="Times New Roman"/>
                <w:color w:val="000000"/>
              </w:rPr>
              <w:t>1451</w:t>
            </w:r>
          </w:p>
        </w:tc>
      </w:tr>
    </w:tbl>
    <w:p w14:paraId="2B63E65C" w14:textId="4EE19DED" w:rsidR="00EB2F6E" w:rsidRPr="00617F9D" w:rsidRDefault="007300BD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(källa: allabrf.se, 2016-05-30, Exemplet ovan gäller en medelstor bostadsrättsförening (bostadsyta 2800 kvm), samt en </w:t>
      </w:r>
      <w:r w:rsidR="00551CE6" w:rsidRPr="00617F9D">
        <w:rPr>
          <w:rFonts w:ascii="Helvetica Neue" w:hAnsi="Helvetica Neue" w:cs="Times New Roman"/>
          <w:color w:val="555555"/>
          <w:sz w:val="20"/>
          <w:szCs w:val="20"/>
        </w:rPr>
        <w:t>genomsnittlig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bostadsrätt (65 kvm</w:t>
      </w:r>
      <w:r w:rsidR="00FB282D" w:rsidRPr="00617F9D">
        <w:rPr>
          <w:rFonts w:ascii="Helvetica Neue" w:hAnsi="Helvetica Neue" w:cs="Times New Roman"/>
          <w:color w:val="555555"/>
          <w:sz w:val="20"/>
          <w:szCs w:val="20"/>
        </w:rPr>
        <w:t>)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>)</w:t>
      </w:r>
    </w:p>
    <w:p w14:paraId="1479CADE" w14:textId="6B1A17EF" w:rsidR="00932662" w:rsidRPr="00617F9D" w:rsidRDefault="00932662" w:rsidP="00932662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</w:rPr>
      </w:pP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Genom att beställa en BRF-analys med detaljerad information om respektive nyckeltal kan man få en helhetsbild över ekonomin i föreningen. </w:t>
      </w:r>
      <w:r w:rsidR="007967F3" w:rsidRPr="00617F9D">
        <w:rPr>
          <w:rFonts w:ascii="Helvetica Neue" w:hAnsi="Helvetica Neue" w:cs="Times New Roman"/>
          <w:color w:val="555555"/>
          <w:sz w:val="20"/>
          <w:szCs w:val="20"/>
        </w:rPr>
        <w:t>Rapporten innehåller effektiv ränta för föreningen</w:t>
      </w:r>
      <w:r w:rsidR="004D458D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över flera år</w:t>
      </w:r>
      <w:r w:rsidR="007967F3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. 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Rapporterna köps online på allabrf.se för </w:t>
      </w:r>
      <w:r w:rsidR="007967F3" w:rsidRPr="00617F9D">
        <w:rPr>
          <w:rFonts w:ascii="Helvetica Neue" w:hAnsi="Helvetica Neue" w:cs="Times New Roman"/>
          <w:color w:val="555555"/>
          <w:sz w:val="20"/>
          <w:szCs w:val="20"/>
        </w:rPr>
        <w:t>129</w:t>
      </w:r>
      <w:r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kronor per bostadsrättsförening och levereras direkt till kunden i en PDF-fil.</w:t>
      </w:r>
      <w:r w:rsidR="00C13104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För bospekulanter som är intresserade av flera bostadsrä</w:t>
      </w:r>
      <w:r w:rsidR="0008756B" w:rsidRPr="00617F9D">
        <w:rPr>
          <w:rFonts w:ascii="Helvetica Neue" w:hAnsi="Helvetica Neue" w:cs="Times New Roman"/>
          <w:color w:val="555555"/>
          <w:sz w:val="20"/>
          <w:szCs w:val="20"/>
        </w:rPr>
        <w:t>ttsföreningar går det att få</w:t>
      </w:r>
      <w:r w:rsidR="00C13104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 obegränsat antal </w:t>
      </w:r>
      <w:r w:rsidR="0008756B" w:rsidRPr="00617F9D">
        <w:rPr>
          <w:rFonts w:ascii="Helvetica Neue" w:hAnsi="Helvetica Neue" w:cs="Times New Roman"/>
          <w:color w:val="555555"/>
          <w:sz w:val="20"/>
          <w:szCs w:val="20"/>
        </w:rPr>
        <w:t xml:space="preserve">BRF-analyser under en månad för </w:t>
      </w:r>
      <w:r w:rsidR="00C13104" w:rsidRPr="00617F9D">
        <w:rPr>
          <w:rFonts w:ascii="Helvetica Neue" w:hAnsi="Helvetica Neue" w:cs="Times New Roman"/>
          <w:color w:val="555555"/>
          <w:sz w:val="20"/>
          <w:szCs w:val="20"/>
        </w:rPr>
        <w:t>349 kronor.</w:t>
      </w:r>
    </w:p>
    <w:p w14:paraId="367AB73E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  <w:lang w:val="sv-SE"/>
        </w:rPr>
      </w:pPr>
    </w:p>
    <w:p w14:paraId="374A29CB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b/>
          <w:color w:val="555555"/>
          <w:lang w:val="sv-SE"/>
        </w:rPr>
      </w:pPr>
      <w:r w:rsidRPr="00617F9D">
        <w:rPr>
          <w:rFonts w:ascii="Helvetica Neue" w:hAnsi="Helvetica Neue"/>
          <w:b/>
          <w:color w:val="555555"/>
          <w:lang w:val="sv-SE"/>
        </w:rPr>
        <w:t>För mer information vänligen kontakta:</w:t>
      </w:r>
    </w:p>
    <w:p w14:paraId="33321023" w14:textId="77777777" w:rsidR="00B676C9" w:rsidRPr="00617F9D" w:rsidRDefault="00B676C9" w:rsidP="00B676C9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lang w:val="sv-SE"/>
        </w:rPr>
      </w:pPr>
      <w:r w:rsidRPr="00617F9D">
        <w:rPr>
          <w:rFonts w:ascii="Helvetica Neue" w:hAnsi="Helvetica Neue"/>
          <w:color w:val="555555"/>
          <w:lang w:val="sv-SE"/>
        </w:rPr>
        <w:t>Hampus Dahlstedt, VD, 0703-222145, hampus@allabrf.se</w:t>
      </w:r>
    </w:p>
    <w:sectPr w:rsidR="00B676C9" w:rsidRPr="00617F9D" w:rsidSect="00E5079D">
      <w:headerReference w:type="default" r:id="rId9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3015" w14:textId="77777777" w:rsidR="00FA0B80" w:rsidRDefault="00FA0B80" w:rsidP="00612862">
      <w:r>
        <w:separator/>
      </w:r>
    </w:p>
  </w:endnote>
  <w:endnote w:type="continuationSeparator" w:id="0">
    <w:p w14:paraId="5D29BEC9" w14:textId="77777777" w:rsidR="00FA0B80" w:rsidRDefault="00FA0B80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C065" w14:textId="77777777" w:rsidR="00FA0B80" w:rsidRDefault="00FA0B80" w:rsidP="00612862">
      <w:r>
        <w:separator/>
      </w:r>
    </w:p>
  </w:footnote>
  <w:footnote w:type="continuationSeparator" w:id="0">
    <w:p w14:paraId="0B0222B8" w14:textId="77777777" w:rsidR="00FA0B80" w:rsidRDefault="00FA0B80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3918" w14:textId="1C738364" w:rsidR="00FA0B80" w:rsidRDefault="00FA0B80" w:rsidP="006A5EE4">
    <w:pPr>
      <w:pStyle w:val="Header"/>
    </w:pPr>
  </w:p>
  <w:p w14:paraId="773547F7" w14:textId="7D966F50" w:rsidR="00FA0B80" w:rsidRPr="006A5EE4" w:rsidRDefault="00F13A18" w:rsidP="006A5EE4">
    <w:pPr>
      <w:pStyle w:val="Header"/>
      <w:jc w:val="right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2016-06-02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6C"/>
    <w:multiLevelType w:val="multilevel"/>
    <w:tmpl w:val="B3C658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26387B09"/>
    <w:multiLevelType w:val="multilevel"/>
    <w:tmpl w:val="AF0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9630C"/>
    <w:multiLevelType w:val="hybridMultilevel"/>
    <w:tmpl w:val="2CE6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F84"/>
    <w:multiLevelType w:val="hybridMultilevel"/>
    <w:tmpl w:val="7E4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D"/>
    <w:rsid w:val="000269B4"/>
    <w:rsid w:val="00034FA4"/>
    <w:rsid w:val="000417D3"/>
    <w:rsid w:val="00082A59"/>
    <w:rsid w:val="0008756B"/>
    <w:rsid w:val="000F2110"/>
    <w:rsid w:val="000F63CC"/>
    <w:rsid w:val="00102479"/>
    <w:rsid w:val="00110EF7"/>
    <w:rsid w:val="00126114"/>
    <w:rsid w:val="00140CDC"/>
    <w:rsid w:val="0014182A"/>
    <w:rsid w:val="001436F0"/>
    <w:rsid w:val="001453F5"/>
    <w:rsid w:val="00146067"/>
    <w:rsid w:val="0014706C"/>
    <w:rsid w:val="00157B7E"/>
    <w:rsid w:val="00157D44"/>
    <w:rsid w:val="0016367F"/>
    <w:rsid w:val="00166AC1"/>
    <w:rsid w:val="00176501"/>
    <w:rsid w:val="001857CE"/>
    <w:rsid w:val="00187387"/>
    <w:rsid w:val="00190A0E"/>
    <w:rsid w:val="001D05D8"/>
    <w:rsid w:val="001D1225"/>
    <w:rsid w:val="001D63E0"/>
    <w:rsid w:val="00205D2C"/>
    <w:rsid w:val="00233896"/>
    <w:rsid w:val="00233A00"/>
    <w:rsid w:val="002833A4"/>
    <w:rsid w:val="00290848"/>
    <w:rsid w:val="002A145C"/>
    <w:rsid w:val="002B6228"/>
    <w:rsid w:val="002C2DFC"/>
    <w:rsid w:val="002F311C"/>
    <w:rsid w:val="00303FDE"/>
    <w:rsid w:val="00304B9F"/>
    <w:rsid w:val="00317E30"/>
    <w:rsid w:val="00322306"/>
    <w:rsid w:val="00331CA6"/>
    <w:rsid w:val="00356CCE"/>
    <w:rsid w:val="003873CD"/>
    <w:rsid w:val="00390984"/>
    <w:rsid w:val="00393737"/>
    <w:rsid w:val="003A53A5"/>
    <w:rsid w:val="003A7AC3"/>
    <w:rsid w:val="003C00F7"/>
    <w:rsid w:val="003C56D6"/>
    <w:rsid w:val="0041529D"/>
    <w:rsid w:val="00416431"/>
    <w:rsid w:val="00432C4B"/>
    <w:rsid w:val="00435345"/>
    <w:rsid w:val="0043765B"/>
    <w:rsid w:val="00437866"/>
    <w:rsid w:val="00444CDE"/>
    <w:rsid w:val="00447813"/>
    <w:rsid w:val="004502D4"/>
    <w:rsid w:val="004551A1"/>
    <w:rsid w:val="00462B54"/>
    <w:rsid w:val="00485986"/>
    <w:rsid w:val="00487C65"/>
    <w:rsid w:val="00494EEE"/>
    <w:rsid w:val="004A1B49"/>
    <w:rsid w:val="004C07C0"/>
    <w:rsid w:val="004C2239"/>
    <w:rsid w:val="004C32CB"/>
    <w:rsid w:val="004C572C"/>
    <w:rsid w:val="004D458D"/>
    <w:rsid w:val="00514C71"/>
    <w:rsid w:val="00524523"/>
    <w:rsid w:val="00525FAF"/>
    <w:rsid w:val="00537AB9"/>
    <w:rsid w:val="00545B34"/>
    <w:rsid w:val="005511C0"/>
    <w:rsid w:val="00551CE6"/>
    <w:rsid w:val="0055387C"/>
    <w:rsid w:val="00557702"/>
    <w:rsid w:val="00562E5E"/>
    <w:rsid w:val="005B127A"/>
    <w:rsid w:val="005B770D"/>
    <w:rsid w:val="005C3410"/>
    <w:rsid w:val="005C7187"/>
    <w:rsid w:val="005E5C21"/>
    <w:rsid w:val="005F1AD1"/>
    <w:rsid w:val="00600844"/>
    <w:rsid w:val="006115CA"/>
    <w:rsid w:val="00612862"/>
    <w:rsid w:val="00617F9D"/>
    <w:rsid w:val="006331B4"/>
    <w:rsid w:val="00634F38"/>
    <w:rsid w:val="00646E74"/>
    <w:rsid w:val="006803F0"/>
    <w:rsid w:val="006A0897"/>
    <w:rsid w:val="006A5EE4"/>
    <w:rsid w:val="006A6C38"/>
    <w:rsid w:val="00700653"/>
    <w:rsid w:val="00717FF0"/>
    <w:rsid w:val="007300BD"/>
    <w:rsid w:val="00771B25"/>
    <w:rsid w:val="007967F3"/>
    <w:rsid w:val="007D35D8"/>
    <w:rsid w:val="007E0592"/>
    <w:rsid w:val="007E4033"/>
    <w:rsid w:val="007F31A3"/>
    <w:rsid w:val="00832641"/>
    <w:rsid w:val="00840C82"/>
    <w:rsid w:val="00843B8E"/>
    <w:rsid w:val="008659EE"/>
    <w:rsid w:val="00875D41"/>
    <w:rsid w:val="00886558"/>
    <w:rsid w:val="00892488"/>
    <w:rsid w:val="00895635"/>
    <w:rsid w:val="008A0C36"/>
    <w:rsid w:val="008C1F7D"/>
    <w:rsid w:val="008D03CE"/>
    <w:rsid w:val="008D1AF6"/>
    <w:rsid w:val="008F128F"/>
    <w:rsid w:val="009000D3"/>
    <w:rsid w:val="00906CDB"/>
    <w:rsid w:val="00932662"/>
    <w:rsid w:val="009345D9"/>
    <w:rsid w:val="009657FE"/>
    <w:rsid w:val="00984311"/>
    <w:rsid w:val="00986D78"/>
    <w:rsid w:val="009935E4"/>
    <w:rsid w:val="009A773F"/>
    <w:rsid w:val="009A78E7"/>
    <w:rsid w:val="009B0F94"/>
    <w:rsid w:val="009B118C"/>
    <w:rsid w:val="00A06C5C"/>
    <w:rsid w:val="00A07B18"/>
    <w:rsid w:val="00A165F4"/>
    <w:rsid w:val="00A171C9"/>
    <w:rsid w:val="00A72911"/>
    <w:rsid w:val="00AC02C7"/>
    <w:rsid w:val="00AC75F5"/>
    <w:rsid w:val="00AC7674"/>
    <w:rsid w:val="00AE10F0"/>
    <w:rsid w:val="00B155E8"/>
    <w:rsid w:val="00B24FEE"/>
    <w:rsid w:val="00B323D1"/>
    <w:rsid w:val="00B57819"/>
    <w:rsid w:val="00B676C9"/>
    <w:rsid w:val="00B818B8"/>
    <w:rsid w:val="00B87213"/>
    <w:rsid w:val="00BA096F"/>
    <w:rsid w:val="00BB1870"/>
    <w:rsid w:val="00BB3D3F"/>
    <w:rsid w:val="00BB6393"/>
    <w:rsid w:val="00BF76EC"/>
    <w:rsid w:val="00C13104"/>
    <w:rsid w:val="00C14207"/>
    <w:rsid w:val="00C45C3D"/>
    <w:rsid w:val="00C52CD8"/>
    <w:rsid w:val="00C56D2D"/>
    <w:rsid w:val="00C613F2"/>
    <w:rsid w:val="00C72552"/>
    <w:rsid w:val="00CA48DB"/>
    <w:rsid w:val="00CB618C"/>
    <w:rsid w:val="00CB6DA3"/>
    <w:rsid w:val="00D04860"/>
    <w:rsid w:val="00D41519"/>
    <w:rsid w:val="00D43BE6"/>
    <w:rsid w:val="00D5013C"/>
    <w:rsid w:val="00D5446F"/>
    <w:rsid w:val="00D67132"/>
    <w:rsid w:val="00D73107"/>
    <w:rsid w:val="00D92AF6"/>
    <w:rsid w:val="00D956E1"/>
    <w:rsid w:val="00DA428A"/>
    <w:rsid w:val="00DE75C0"/>
    <w:rsid w:val="00DF3619"/>
    <w:rsid w:val="00E21F00"/>
    <w:rsid w:val="00E23DD3"/>
    <w:rsid w:val="00E5079D"/>
    <w:rsid w:val="00E6291C"/>
    <w:rsid w:val="00E71AA4"/>
    <w:rsid w:val="00E7540B"/>
    <w:rsid w:val="00E90221"/>
    <w:rsid w:val="00E91DB2"/>
    <w:rsid w:val="00E93FB5"/>
    <w:rsid w:val="00EB2F6E"/>
    <w:rsid w:val="00EE7E45"/>
    <w:rsid w:val="00F05119"/>
    <w:rsid w:val="00F11508"/>
    <w:rsid w:val="00F13A18"/>
    <w:rsid w:val="00F268B0"/>
    <w:rsid w:val="00F3670C"/>
    <w:rsid w:val="00F43364"/>
    <w:rsid w:val="00F55172"/>
    <w:rsid w:val="00F67053"/>
    <w:rsid w:val="00FA0909"/>
    <w:rsid w:val="00FA0B80"/>
    <w:rsid w:val="00FB1E59"/>
    <w:rsid w:val="00FB282D"/>
    <w:rsid w:val="00FB6C62"/>
    <w:rsid w:val="00FC405C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A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D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56D2D"/>
    <w:rPr>
      <w:b/>
      <w:bCs/>
    </w:rPr>
  </w:style>
  <w:style w:type="character" w:styleId="Emphasis">
    <w:name w:val="Emphasis"/>
    <w:basedOn w:val="DefaultParagraphFont"/>
    <w:uiPriority w:val="20"/>
    <w:qFormat/>
    <w:rsid w:val="00C56D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2"/>
    <w:rPr>
      <w:rFonts w:ascii="Lucida Grande" w:hAnsi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6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3F5"/>
  </w:style>
  <w:style w:type="paragraph" w:styleId="ListParagraph">
    <w:name w:val="List Paragraph"/>
    <w:basedOn w:val="Normal"/>
    <w:uiPriority w:val="34"/>
    <w:qFormat/>
    <w:rsid w:val="0055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7D8BE-37C4-7746-9C4A-1D19EFE4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</dc:creator>
  <cp:keywords/>
  <dc:description/>
  <cp:lastModifiedBy>Hampus</cp:lastModifiedBy>
  <cp:revision>6</cp:revision>
  <cp:lastPrinted>2016-05-19T12:06:00Z</cp:lastPrinted>
  <dcterms:created xsi:type="dcterms:W3CDTF">2016-05-30T15:05:00Z</dcterms:created>
  <dcterms:modified xsi:type="dcterms:W3CDTF">2016-05-30T15:08:00Z</dcterms:modified>
</cp:coreProperties>
</file>