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B6C9" w14:textId="6AAFAEE8" w:rsidR="002833A4" w:rsidRPr="00435345" w:rsidRDefault="001453F5" w:rsidP="005E5C21">
      <w:pPr>
        <w:pStyle w:val="NormalWeb"/>
        <w:spacing w:before="0" w:beforeAutospacing="0" w:line="270" w:lineRule="atLeast"/>
        <w:rPr>
          <w:rStyle w:val="Strong"/>
          <w:rFonts w:ascii="Helvetica Neue" w:hAnsi="Helvetica Neue"/>
          <w:color w:val="555555"/>
          <w:sz w:val="24"/>
          <w:szCs w:val="24"/>
          <w:lang w:val="sv-SE"/>
        </w:rPr>
      </w:pPr>
      <w:r w:rsidRPr="00435345">
        <w:rPr>
          <w:rStyle w:val="Strong"/>
          <w:rFonts w:ascii="Helvetica Neue" w:hAnsi="Helvetica Neue"/>
          <w:color w:val="555555"/>
          <w:sz w:val="24"/>
          <w:szCs w:val="24"/>
          <w:lang w:val="sv-SE"/>
        </w:rPr>
        <w:t xml:space="preserve">PRESS RELEASE </w:t>
      </w:r>
      <w:r w:rsidR="006A5EE4" w:rsidRPr="00435345">
        <w:rPr>
          <w:rStyle w:val="Strong"/>
          <w:rFonts w:ascii="Helvetica Neue" w:hAnsi="Helvetica Neue"/>
          <w:color w:val="555555"/>
          <w:sz w:val="24"/>
          <w:szCs w:val="24"/>
          <w:lang w:val="sv-SE"/>
        </w:rPr>
        <w:t xml:space="preserve">– </w:t>
      </w:r>
      <w:r w:rsidR="00545B34" w:rsidRPr="00545B34">
        <w:rPr>
          <w:rStyle w:val="Strong"/>
          <w:rFonts w:ascii="Helvetica Neue" w:hAnsi="Helvetica Neue"/>
          <w:color w:val="555555"/>
          <w:sz w:val="24"/>
          <w:szCs w:val="24"/>
          <w:lang w:val="sv-SE"/>
        </w:rPr>
        <w:t>allabrf.se lanserar ratingsystem för bostadsrättsföreningar</w:t>
      </w:r>
    </w:p>
    <w:p w14:paraId="5ABC1C61"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b/>
          <w:bCs/>
          <w:color w:val="555555"/>
          <w:sz w:val="20"/>
          <w:szCs w:val="20"/>
          <w:lang w:val="en-US"/>
        </w:rPr>
        <w:t>allabrf.se har Sveriges största databas med ekonomisk information om bostadsrättsföreningar. Idag lanseras ett betygssystem för att ranka föreningar baserat på deras ekonomi. Betyget ger privatpersoner ett enkelt och bra hjälpmedel för att analysera och jämföra bostadsrättsföreningar. </w:t>
      </w:r>
    </w:p>
    <w:p w14:paraId="7D9988A1"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i/>
          <w:iCs/>
          <w:color w:val="555555"/>
          <w:sz w:val="20"/>
          <w:szCs w:val="20"/>
          <w:lang w:val="en-US"/>
        </w:rPr>
        <w:t>- Vårt mål är att ge privatpersoner trygghet i sitt livs kanske största affär. Många spekulanter hinner inte med eller har svårt att förstå föreningens årsredovisning. Vårt nya ratingsystem ger dem ett enkelt och snabbt hjälpmedel i deras beslut,</w:t>
      </w:r>
      <w:r w:rsidRPr="00304B9F">
        <w:rPr>
          <w:rFonts w:ascii="Helvetica Neue" w:hAnsi="Helvetica Neue" w:cs="Times New Roman"/>
          <w:color w:val="555555"/>
          <w:sz w:val="20"/>
          <w:szCs w:val="20"/>
          <w:lang w:val="en-US"/>
        </w:rPr>
        <w:t> säger Hampus Dahlstedt, VD och medgrundare allabrf.se</w:t>
      </w:r>
    </w:p>
    <w:p w14:paraId="061B8F10"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color w:val="555555"/>
          <w:sz w:val="20"/>
          <w:szCs w:val="20"/>
          <w:lang w:val="en-US"/>
        </w:rPr>
        <w:t>allabrf.se har utvecklat ett index som består av sju viktiga parametrar: skuldsättning, avgiftsnivå, kassaflöde, hyresintäkter, drift- och underhållskostnader, räntekostnader och skatteskyldighet ("äkta"/"oäkta"). Varje parameter rankas först individuellt baserat på gränsvärden, därefter läggs de samman i ett viktat index. Indexet är utvecklat av allabrf.se's expert inom BRF-ekonomi.</w:t>
      </w:r>
    </w:p>
    <w:p w14:paraId="6A4C14FA"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i/>
          <w:iCs/>
          <w:color w:val="555555"/>
          <w:sz w:val="20"/>
          <w:szCs w:val="20"/>
          <w:lang w:val="en-US"/>
        </w:rPr>
        <w:t>- Alla föreningar är olika och har olika förutsättningar men vi tror att vi har lyckats identifiera sju parametrar som tillsammans ger en balanserad bild över bostadsrättsföreningen ekonomiska situation, </w:t>
      </w:r>
      <w:r w:rsidRPr="00304B9F">
        <w:rPr>
          <w:rFonts w:ascii="Helvetica Neue" w:hAnsi="Helvetica Neue" w:cs="Times New Roman"/>
          <w:color w:val="555555"/>
          <w:sz w:val="20"/>
          <w:szCs w:val="20"/>
          <w:lang w:val="en-US"/>
        </w:rPr>
        <w:t>säger Rana Toubal, expert inom BRF-ekonomi och medgrundare allabrf.se</w:t>
      </w:r>
    </w:p>
    <w:p w14:paraId="03CDB58F"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color w:val="555555"/>
          <w:sz w:val="20"/>
          <w:szCs w:val="20"/>
          <w:lang w:val="en-US"/>
        </w:rPr>
        <w:t>Högsta betyg (AAA) innebär att bostadsrättsföreningen är synnerligen solid ur ett ekonomiskt perspektiv och en nära riskfri investering för spekulanter. Betyget har enbart utgivits till ca 1-2% av alla bostadsrättsföreningar i Sverige. Lägsta betyg (C) innebär att bostadsrättsföreningen har akuta ekonomiska problem, vilket kan resultera i högre månadsavgifter och/eller kapitaltillskott för bostadsrättsföreningens medlemmar.</w:t>
      </w:r>
    </w:p>
    <w:p w14:paraId="05BAD04C"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i/>
          <w:iCs/>
          <w:color w:val="555555"/>
          <w:sz w:val="20"/>
          <w:szCs w:val="20"/>
          <w:lang w:val="en-US"/>
        </w:rPr>
        <w:t>- En AAA förening är äkta och ofta skuldfri. Den har låga avgifter och goda hyresintäkter från lokaler eller hyresrätter samtidigt hålls driftskostnader och räntekostnader låga. Ett positivt kassaflöde innebär också ofta att föreningen kan sänka sina avgifter i framtiden. Tillsammans ger dessa faktorer en mycket trygg investering för en spekulant,</w:t>
      </w:r>
      <w:r w:rsidRPr="00304B9F">
        <w:rPr>
          <w:rFonts w:ascii="Helvetica Neue" w:hAnsi="Helvetica Neue" w:cs="Times New Roman"/>
          <w:color w:val="555555"/>
          <w:sz w:val="20"/>
          <w:szCs w:val="20"/>
          <w:lang w:val="en-US"/>
        </w:rPr>
        <w:t> säger Rana Toubal, expert inom BRF-ekonomi och medgrundare allabrf.se</w:t>
      </w:r>
    </w:p>
    <w:p w14:paraId="6AD5A090" w14:textId="7261007C"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color w:val="555555"/>
          <w:sz w:val="20"/>
          <w:szCs w:val="20"/>
          <w:lang w:val="en-US"/>
        </w:rPr>
        <w:t>Betygssystemet har testats och kalibrerats under flera månader för att vara så rättvisande som möjligt för Sveriges bostadsrättsföreningar. För att ytterligare kvalitetssäkra systemet appliceras betyg endast på bostadsrättsföreningar där den underliggande datan har kontrollerats. Idag finns betyg på ca 3000 stora och populära bostadsrättsföreningar och varje månad rankas ytterligare ca 500 föreninga</w:t>
      </w:r>
      <w:r w:rsidR="00176501">
        <w:rPr>
          <w:rFonts w:ascii="Helvetica Neue" w:hAnsi="Helvetica Neue" w:cs="Times New Roman"/>
          <w:color w:val="555555"/>
          <w:sz w:val="20"/>
          <w:szCs w:val="20"/>
          <w:lang w:val="en-US"/>
        </w:rPr>
        <w:t>r</w:t>
      </w:r>
      <w:r w:rsidRPr="00304B9F">
        <w:rPr>
          <w:rFonts w:ascii="Helvetica Neue" w:hAnsi="Helvetica Neue" w:cs="Times New Roman"/>
          <w:color w:val="555555"/>
          <w:sz w:val="20"/>
          <w:szCs w:val="20"/>
          <w:lang w:val="en-US"/>
        </w:rPr>
        <w:t>.</w:t>
      </w:r>
    </w:p>
    <w:p w14:paraId="207DB3EB"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i/>
          <w:iCs/>
          <w:color w:val="555555"/>
          <w:sz w:val="20"/>
          <w:szCs w:val="20"/>
          <w:lang w:val="en-US"/>
        </w:rPr>
        <w:t>- Man skulle kunna tro att alla AAA-föreningar finns i innerstaden. Men faktum är att det finns fantastiska AAA-föreningar utspridda i hela landet, t.e.x Gävle, Uppsala, Västerås, Halmstad och Lund, </w:t>
      </w:r>
      <w:r w:rsidRPr="00304B9F">
        <w:rPr>
          <w:rFonts w:ascii="Helvetica Neue" w:hAnsi="Helvetica Neue" w:cs="Times New Roman"/>
          <w:color w:val="555555"/>
          <w:sz w:val="20"/>
          <w:szCs w:val="20"/>
          <w:lang w:val="en-US"/>
        </w:rPr>
        <w:t>säger Rana Toubal, expert inom BRF-ekonomi och medgrundare allabrf.se.</w:t>
      </w:r>
    </w:p>
    <w:p w14:paraId="116BFEBD"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color w:val="555555"/>
          <w:sz w:val="20"/>
          <w:szCs w:val="20"/>
          <w:lang w:val="en-US"/>
        </w:rPr>
        <w:t>Inom kort kommer privatpersoner även kunna beställa en mer fördjupad analys av en bostadsrättsförening. I denna rapport analyseras alla sju parametrar individuellt över flera år och jämförs med medelvärden för kommunen och Sverige.</w:t>
      </w:r>
    </w:p>
    <w:p w14:paraId="77184D42" w14:textId="77777777" w:rsidR="00304B9F" w:rsidRPr="00304B9F" w:rsidRDefault="00304B9F" w:rsidP="00304B9F">
      <w:pPr>
        <w:spacing w:after="100" w:afterAutospacing="1" w:line="270" w:lineRule="atLeast"/>
        <w:rPr>
          <w:rFonts w:ascii="Helvetica Neue" w:hAnsi="Helvetica Neue" w:cs="Times New Roman"/>
          <w:color w:val="555555"/>
          <w:sz w:val="20"/>
          <w:szCs w:val="20"/>
          <w:lang w:val="en-US"/>
        </w:rPr>
      </w:pPr>
      <w:r w:rsidRPr="00304B9F">
        <w:rPr>
          <w:rFonts w:ascii="Helvetica Neue" w:hAnsi="Helvetica Neue" w:cs="Times New Roman"/>
          <w:b/>
          <w:bCs/>
          <w:color w:val="555555"/>
          <w:sz w:val="20"/>
          <w:szCs w:val="20"/>
          <w:lang w:val="en-US"/>
        </w:rPr>
        <w:lastRenderedPageBreak/>
        <w:t>10 bostadsrättsföreningar med betyget AAA (tabell)</w:t>
      </w:r>
    </w:p>
    <w:p w14:paraId="7A58CA72" w14:textId="77777777" w:rsidR="00304B9F" w:rsidRPr="00304B9F" w:rsidRDefault="00304B9F" w:rsidP="00304B9F">
      <w:pPr>
        <w:rPr>
          <w:rFonts w:ascii="Times" w:eastAsia="Times New Roman" w:hAnsi="Times" w:cs="Times New Roman"/>
          <w:sz w:val="20"/>
          <w:szCs w:val="20"/>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82"/>
        <w:gridCol w:w="4842"/>
        <w:gridCol w:w="990"/>
      </w:tblGrid>
      <w:tr w:rsidR="00304B9F" w:rsidRPr="00304B9F" w14:paraId="491ECB19"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3B5B5FCA"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b/>
                <w:bCs/>
                <w:color w:val="555555"/>
                <w:sz w:val="20"/>
                <w:szCs w:val="20"/>
                <w:lang w:val="en-US"/>
              </w:rPr>
              <w:t>Betyg</w:t>
            </w:r>
          </w:p>
        </w:tc>
        <w:tc>
          <w:tcPr>
            <w:tcW w:w="0" w:type="auto"/>
            <w:tcBorders>
              <w:top w:val="single" w:sz="6" w:space="0" w:color="DDDDDD"/>
              <w:left w:val="single" w:sz="6" w:space="0" w:color="DDDDDD"/>
              <w:bottom w:val="single" w:sz="6" w:space="0" w:color="DDDDDD"/>
              <w:right w:val="single" w:sz="6" w:space="0" w:color="DDDDDD"/>
            </w:tcBorders>
            <w:hideMark/>
          </w:tcPr>
          <w:p w14:paraId="3B76A345"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b/>
                <w:bCs/>
                <w:color w:val="555555"/>
                <w:sz w:val="20"/>
                <w:szCs w:val="20"/>
                <w:lang w:val="en-US"/>
              </w:rPr>
              <w:t>Bostadsrättsförening</w:t>
            </w:r>
          </w:p>
        </w:tc>
        <w:tc>
          <w:tcPr>
            <w:tcW w:w="0" w:type="auto"/>
            <w:tcBorders>
              <w:top w:val="single" w:sz="6" w:space="0" w:color="DDDDDD"/>
              <w:left w:val="single" w:sz="6" w:space="0" w:color="DDDDDD"/>
              <w:bottom w:val="single" w:sz="6" w:space="0" w:color="DDDDDD"/>
              <w:right w:val="single" w:sz="6" w:space="0" w:color="DDDDDD"/>
            </w:tcBorders>
            <w:hideMark/>
          </w:tcPr>
          <w:p w14:paraId="51627491"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b/>
                <w:bCs/>
                <w:color w:val="555555"/>
                <w:sz w:val="20"/>
                <w:szCs w:val="20"/>
                <w:lang w:val="en-US"/>
              </w:rPr>
              <w:t>Kommun</w:t>
            </w:r>
          </w:p>
        </w:tc>
      </w:tr>
      <w:tr w:rsidR="00304B9F" w:rsidRPr="00304B9F" w14:paraId="4CF6B1F9"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3D62518D"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7FDF7565"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Bostadsrättsföreningen Agenten nr 18</w:t>
            </w:r>
          </w:p>
        </w:tc>
        <w:tc>
          <w:tcPr>
            <w:tcW w:w="0" w:type="auto"/>
            <w:tcBorders>
              <w:top w:val="single" w:sz="6" w:space="0" w:color="DDDDDD"/>
              <w:left w:val="single" w:sz="6" w:space="0" w:color="DDDDDD"/>
              <w:bottom w:val="single" w:sz="6" w:space="0" w:color="DDDDDD"/>
              <w:right w:val="single" w:sz="6" w:space="0" w:color="DDDDDD"/>
            </w:tcBorders>
            <w:hideMark/>
          </w:tcPr>
          <w:p w14:paraId="3AA7A877"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Gävle</w:t>
            </w:r>
          </w:p>
        </w:tc>
      </w:tr>
      <w:tr w:rsidR="00304B9F" w:rsidRPr="00304B9F" w14:paraId="11EECD4E"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2F168802"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0E6C7372"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Bostadsrättsföreningen Skarpetegen</w:t>
            </w:r>
          </w:p>
        </w:tc>
        <w:tc>
          <w:tcPr>
            <w:tcW w:w="0" w:type="auto"/>
            <w:tcBorders>
              <w:top w:val="single" w:sz="6" w:space="0" w:color="DDDDDD"/>
              <w:left w:val="single" w:sz="6" w:space="0" w:color="DDDDDD"/>
              <w:bottom w:val="single" w:sz="6" w:space="0" w:color="DDDDDD"/>
              <w:right w:val="single" w:sz="6" w:space="0" w:color="DDDDDD"/>
            </w:tcBorders>
            <w:hideMark/>
          </w:tcPr>
          <w:p w14:paraId="71959129"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Göteborg</w:t>
            </w:r>
          </w:p>
        </w:tc>
      </w:tr>
      <w:tr w:rsidR="00304B9F" w:rsidRPr="00304B9F" w14:paraId="5D8C5CB2"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1146E31C"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67835E5E"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Riksbyggens Bostadsrättsförening Halmstadshus nr 1</w:t>
            </w:r>
          </w:p>
        </w:tc>
        <w:tc>
          <w:tcPr>
            <w:tcW w:w="0" w:type="auto"/>
            <w:tcBorders>
              <w:top w:val="single" w:sz="6" w:space="0" w:color="DDDDDD"/>
              <w:left w:val="single" w:sz="6" w:space="0" w:color="DDDDDD"/>
              <w:bottom w:val="single" w:sz="6" w:space="0" w:color="DDDDDD"/>
              <w:right w:val="single" w:sz="6" w:space="0" w:color="DDDDDD"/>
            </w:tcBorders>
            <w:hideMark/>
          </w:tcPr>
          <w:p w14:paraId="35C83B01"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Halmstad</w:t>
            </w:r>
          </w:p>
        </w:tc>
      </w:tr>
      <w:tr w:rsidR="00304B9F" w:rsidRPr="00304B9F" w14:paraId="7C0EF7BF"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6CCCEF81"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0D0D15B6"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HSB Bostadsrättsförening Linero</w:t>
            </w:r>
          </w:p>
        </w:tc>
        <w:tc>
          <w:tcPr>
            <w:tcW w:w="0" w:type="auto"/>
            <w:tcBorders>
              <w:top w:val="single" w:sz="6" w:space="0" w:color="DDDDDD"/>
              <w:left w:val="single" w:sz="6" w:space="0" w:color="DDDDDD"/>
              <w:bottom w:val="single" w:sz="6" w:space="0" w:color="DDDDDD"/>
              <w:right w:val="single" w:sz="6" w:space="0" w:color="DDDDDD"/>
            </w:tcBorders>
            <w:hideMark/>
          </w:tcPr>
          <w:p w14:paraId="4A06A5AF"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Lund</w:t>
            </w:r>
          </w:p>
        </w:tc>
      </w:tr>
      <w:tr w:rsidR="00304B9F" w:rsidRPr="00304B9F" w14:paraId="33B5CBC5"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65435E09"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647B5EA7"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Bostadsföreningen Pilen utan personlig ansvarighet</w:t>
            </w:r>
          </w:p>
        </w:tc>
        <w:tc>
          <w:tcPr>
            <w:tcW w:w="0" w:type="auto"/>
            <w:tcBorders>
              <w:top w:val="single" w:sz="6" w:space="0" w:color="DDDDDD"/>
              <w:left w:val="single" w:sz="6" w:space="0" w:color="DDDDDD"/>
              <w:bottom w:val="single" w:sz="6" w:space="0" w:color="DDDDDD"/>
              <w:right w:val="single" w:sz="6" w:space="0" w:color="DDDDDD"/>
            </w:tcBorders>
            <w:hideMark/>
          </w:tcPr>
          <w:p w14:paraId="6BEB0F45"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Malmö</w:t>
            </w:r>
          </w:p>
        </w:tc>
      </w:tr>
      <w:tr w:rsidR="00304B9F" w:rsidRPr="00304B9F" w14:paraId="671D579C"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6057083A"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05E373BD"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Bostadsrättsföreningen Apeln Nr 7</w:t>
            </w:r>
          </w:p>
        </w:tc>
        <w:tc>
          <w:tcPr>
            <w:tcW w:w="0" w:type="auto"/>
            <w:tcBorders>
              <w:top w:val="single" w:sz="6" w:space="0" w:color="DDDDDD"/>
              <w:left w:val="single" w:sz="6" w:space="0" w:color="DDDDDD"/>
              <w:bottom w:val="single" w:sz="6" w:space="0" w:color="DDDDDD"/>
              <w:right w:val="single" w:sz="6" w:space="0" w:color="DDDDDD"/>
            </w:tcBorders>
            <w:hideMark/>
          </w:tcPr>
          <w:p w14:paraId="01DBC4E6"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Solna</w:t>
            </w:r>
          </w:p>
        </w:tc>
      </w:tr>
      <w:tr w:rsidR="00304B9F" w:rsidRPr="00304B9F" w14:paraId="73CBAF00"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6BB6F462"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64CA35FB"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Bostadsrättsföreningen Skinnarviksberget nr 2</w:t>
            </w:r>
          </w:p>
        </w:tc>
        <w:tc>
          <w:tcPr>
            <w:tcW w:w="0" w:type="auto"/>
            <w:tcBorders>
              <w:top w:val="single" w:sz="6" w:space="0" w:color="DDDDDD"/>
              <w:left w:val="single" w:sz="6" w:space="0" w:color="DDDDDD"/>
              <w:bottom w:val="single" w:sz="6" w:space="0" w:color="DDDDDD"/>
              <w:right w:val="single" w:sz="6" w:space="0" w:color="DDDDDD"/>
            </w:tcBorders>
            <w:hideMark/>
          </w:tcPr>
          <w:p w14:paraId="3C85CB0E"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Stockholm</w:t>
            </w:r>
          </w:p>
        </w:tc>
      </w:tr>
      <w:tr w:rsidR="00304B9F" w:rsidRPr="00304B9F" w14:paraId="761C86AF"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680587D0"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3738174C"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Bostadsrättsföreningen Harven 58</w:t>
            </w:r>
          </w:p>
        </w:tc>
        <w:tc>
          <w:tcPr>
            <w:tcW w:w="0" w:type="auto"/>
            <w:tcBorders>
              <w:top w:val="single" w:sz="6" w:space="0" w:color="DDDDDD"/>
              <w:left w:val="single" w:sz="6" w:space="0" w:color="DDDDDD"/>
              <w:bottom w:val="single" w:sz="6" w:space="0" w:color="DDDDDD"/>
              <w:right w:val="single" w:sz="6" w:space="0" w:color="DDDDDD"/>
            </w:tcBorders>
            <w:hideMark/>
          </w:tcPr>
          <w:p w14:paraId="7DE28530"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Stockholm</w:t>
            </w:r>
          </w:p>
        </w:tc>
      </w:tr>
      <w:tr w:rsidR="00304B9F" w:rsidRPr="00304B9F" w14:paraId="642B1A9B"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3F67D857"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0DE369AF"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HSB Bostadsrättsförening 10 Åsvid</w:t>
            </w:r>
          </w:p>
        </w:tc>
        <w:tc>
          <w:tcPr>
            <w:tcW w:w="0" w:type="auto"/>
            <w:tcBorders>
              <w:top w:val="single" w:sz="6" w:space="0" w:color="DDDDDD"/>
              <w:left w:val="single" w:sz="6" w:space="0" w:color="DDDDDD"/>
              <w:bottom w:val="single" w:sz="6" w:space="0" w:color="DDDDDD"/>
              <w:right w:val="single" w:sz="6" w:space="0" w:color="DDDDDD"/>
            </w:tcBorders>
            <w:hideMark/>
          </w:tcPr>
          <w:p w14:paraId="685A1D83"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Uppsala</w:t>
            </w:r>
          </w:p>
        </w:tc>
      </w:tr>
      <w:tr w:rsidR="00304B9F" w:rsidRPr="00304B9F" w14:paraId="74F433B9" w14:textId="77777777" w:rsidTr="00304B9F">
        <w:tc>
          <w:tcPr>
            <w:tcW w:w="0" w:type="auto"/>
            <w:tcBorders>
              <w:top w:val="single" w:sz="6" w:space="0" w:color="DDDDDD"/>
              <w:left w:val="single" w:sz="6" w:space="0" w:color="DDDDDD"/>
              <w:bottom w:val="single" w:sz="6" w:space="0" w:color="DDDDDD"/>
              <w:right w:val="single" w:sz="6" w:space="0" w:color="DDDDDD"/>
            </w:tcBorders>
            <w:hideMark/>
          </w:tcPr>
          <w:p w14:paraId="64A89B5A"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AAA</w:t>
            </w:r>
          </w:p>
        </w:tc>
        <w:tc>
          <w:tcPr>
            <w:tcW w:w="0" w:type="auto"/>
            <w:tcBorders>
              <w:top w:val="single" w:sz="6" w:space="0" w:color="DDDDDD"/>
              <w:left w:val="single" w:sz="6" w:space="0" w:color="DDDDDD"/>
              <w:bottom w:val="single" w:sz="6" w:space="0" w:color="DDDDDD"/>
              <w:right w:val="single" w:sz="6" w:space="0" w:color="DDDDDD"/>
            </w:tcBorders>
            <w:hideMark/>
          </w:tcPr>
          <w:p w14:paraId="335CACE1"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HSB Bostadsrättsförening Soldaten</w:t>
            </w:r>
          </w:p>
        </w:tc>
        <w:tc>
          <w:tcPr>
            <w:tcW w:w="0" w:type="auto"/>
            <w:tcBorders>
              <w:top w:val="single" w:sz="6" w:space="0" w:color="DDDDDD"/>
              <w:left w:val="single" w:sz="6" w:space="0" w:color="DDDDDD"/>
              <w:bottom w:val="single" w:sz="6" w:space="0" w:color="DDDDDD"/>
              <w:right w:val="single" w:sz="6" w:space="0" w:color="DDDDDD"/>
            </w:tcBorders>
            <w:hideMark/>
          </w:tcPr>
          <w:p w14:paraId="0560FDC5" w14:textId="77777777" w:rsidR="00304B9F" w:rsidRPr="00304B9F" w:rsidRDefault="00304B9F" w:rsidP="00304B9F">
            <w:pPr>
              <w:spacing w:line="270" w:lineRule="atLeast"/>
              <w:rPr>
                <w:rFonts w:ascii="Helvetica Neue" w:eastAsia="Times New Roman" w:hAnsi="Helvetica Neue" w:cs="Times New Roman"/>
                <w:color w:val="555555"/>
                <w:sz w:val="20"/>
                <w:szCs w:val="20"/>
                <w:lang w:val="en-US"/>
              </w:rPr>
            </w:pPr>
            <w:r w:rsidRPr="00304B9F">
              <w:rPr>
                <w:rFonts w:ascii="Helvetica Neue" w:eastAsia="Times New Roman" w:hAnsi="Helvetica Neue" w:cs="Times New Roman"/>
                <w:color w:val="555555"/>
                <w:sz w:val="20"/>
                <w:szCs w:val="20"/>
                <w:lang w:val="en-US"/>
              </w:rPr>
              <w:t>Västerås</w:t>
            </w:r>
          </w:p>
        </w:tc>
      </w:tr>
    </w:tbl>
    <w:p w14:paraId="367AB73E" w14:textId="77777777" w:rsidR="00B676C9" w:rsidRDefault="00B676C9" w:rsidP="00B676C9">
      <w:pPr>
        <w:pStyle w:val="NormalWeb"/>
        <w:spacing w:before="0" w:beforeAutospacing="0" w:line="270" w:lineRule="atLeast"/>
        <w:rPr>
          <w:rFonts w:ascii="Helvetica Neue" w:hAnsi="Helvetica Neue"/>
          <w:b/>
          <w:color w:val="555555"/>
        </w:rPr>
      </w:pPr>
    </w:p>
    <w:p w14:paraId="374A29CB" w14:textId="77777777" w:rsidR="00B676C9" w:rsidRPr="004502D4" w:rsidRDefault="00B676C9" w:rsidP="00B676C9">
      <w:pPr>
        <w:pStyle w:val="NormalWeb"/>
        <w:spacing w:before="0" w:beforeAutospacing="0" w:line="270" w:lineRule="atLeast"/>
        <w:rPr>
          <w:rFonts w:ascii="Helvetica Neue" w:hAnsi="Helvetica Neue"/>
          <w:b/>
          <w:color w:val="555555"/>
        </w:rPr>
      </w:pPr>
      <w:r w:rsidRPr="004502D4">
        <w:rPr>
          <w:rFonts w:ascii="Helvetica Neue" w:hAnsi="Helvetica Neue"/>
          <w:b/>
          <w:color w:val="555555"/>
        </w:rPr>
        <w:t>För mer information vänligen kontakta:</w:t>
      </w:r>
    </w:p>
    <w:p w14:paraId="33321023" w14:textId="77777777" w:rsidR="00B676C9" w:rsidRDefault="00B676C9" w:rsidP="00B676C9">
      <w:pPr>
        <w:pStyle w:val="NormalWeb"/>
        <w:spacing w:before="0" w:beforeAutospacing="0" w:line="270" w:lineRule="atLeast"/>
        <w:rPr>
          <w:rFonts w:ascii="Helvetica Neue" w:hAnsi="Helvetica Neue"/>
          <w:color w:val="555555"/>
        </w:rPr>
      </w:pPr>
      <w:r>
        <w:rPr>
          <w:rFonts w:ascii="Helvetica Neue" w:hAnsi="Helvetica Neue"/>
          <w:color w:val="555555"/>
        </w:rPr>
        <w:t>Hampus Dahlstedt, VD, 0703-222145, hampus@allabrf.se</w:t>
      </w:r>
    </w:p>
    <w:p w14:paraId="2CCE4259" w14:textId="77777777" w:rsidR="00290848" w:rsidRPr="0043765B" w:rsidRDefault="00290848" w:rsidP="0043765B">
      <w:pPr>
        <w:pStyle w:val="NormalWeb"/>
        <w:spacing w:before="0" w:beforeAutospacing="0" w:line="270" w:lineRule="atLeast"/>
        <w:rPr>
          <w:rFonts w:ascii="Helvetica Neue" w:hAnsi="Helvetica Neue"/>
          <w:b/>
          <w:color w:val="555555"/>
        </w:rPr>
      </w:pPr>
      <w:r w:rsidRPr="0043765B">
        <w:rPr>
          <w:rFonts w:ascii="Helvetica Neue" w:hAnsi="Helvetica Neue"/>
          <w:b/>
          <w:color w:val="555555"/>
        </w:rPr>
        <w:t>Bilaga A - Ranking metodologi</w:t>
      </w:r>
    </w:p>
    <w:tbl>
      <w:tblPr>
        <w:tblStyle w:val="TableGrid"/>
        <w:tblW w:w="4400" w:type="dxa"/>
        <w:tblLayout w:type="fixed"/>
        <w:tblCellMar>
          <w:left w:w="0" w:type="dxa"/>
          <w:right w:w="0" w:type="dxa"/>
        </w:tblCellMar>
        <w:tblLook w:val="04A0" w:firstRow="1" w:lastRow="0" w:firstColumn="1" w:lastColumn="0" w:noHBand="0" w:noVBand="1"/>
      </w:tblPr>
      <w:tblGrid>
        <w:gridCol w:w="1706"/>
        <w:gridCol w:w="567"/>
        <w:gridCol w:w="2127"/>
      </w:tblGrid>
      <w:tr w:rsidR="00AC02C7" w:rsidRPr="00D51AF4" w14:paraId="0A8DC56F" w14:textId="77777777" w:rsidTr="00AC02C7">
        <w:trPr>
          <w:trHeight w:val="340"/>
        </w:trPr>
        <w:tc>
          <w:tcPr>
            <w:tcW w:w="1706" w:type="dxa"/>
            <w:vMerge w:val="restart"/>
            <w:tcMar>
              <w:left w:w="0" w:type="dxa"/>
              <w:right w:w="0" w:type="dxa"/>
            </w:tcMar>
            <w:vAlign w:val="center"/>
          </w:tcPr>
          <w:p w14:paraId="7FD40D2C" w14:textId="6C563290" w:rsidR="00AC02C7" w:rsidRPr="0043765B" w:rsidRDefault="00AC02C7" w:rsidP="0043765B">
            <w:pPr>
              <w:pStyle w:val="NormalWeb"/>
              <w:spacing w:before="0" w:beforeAutospacing="0" w:line="270" w:lineRule="atLeast"/>
              <w:jc w:val="center"/>
              <w:rPr>
                <w:rFonts w:ascii="Helvetica Neue" w:hAnsi="Helvetica Neue"/>
                <w:b/>
                <w:color w:val="555555"/>
                <w:sz w:val="16"/>
                <w:szCs w:val="16"/>
              </w:rPr>
            </w:pPr>
            <w:r w:rsidRPr="0043765B">
              <w:rPr>
                <w:rFonts w:ascii="Helvetica Neue" w:hAnsi="Helvetica Neue"/>
                <w:b/>
                <w:color w:val="555555"/>
                <w:sz w:val="16"/>
                <w:szCs w:val="16"/>
              </w:rPr>
              <w:t>Nyck</w:t>
            </w:r>
            <w:bookmarkStart w:id="0" w:name="_GoBack"/>
            <w:bookmarkEnd w:id="0"/>
            <w:r w:rsidRPr="0043765B">
              <w:rPr>
                <w:rFonts w:ascii="Helvetica Neue" w:hAnsi="Helvetica Neue"/>
                <w:b/>
                <w:color w:val="555555"/>
                <w:sz w:val="16"/>
                <w:szCs w:val="16"/>
              </w:rPr>
              <w:t>eltal</w:t>
            </w:r>
          </w:p>
        </w:tc>
        <w:tc>
          <w:tcPr>
            <w:tcW w:w="567" w:type="dxa"/>
            <w:vMerge w:val="restart"/>
            <w:tcMar>
              <w:left w:w="0" w:type="dxa"/>
              <w:right w:w="0" w:type="dxa"/>
            </w:tcMar>
            <w:vAlign w:val="center"/>
          </w:tcPr>
          <w:p w14:paraId="050A3DB6" w14:textId="77777777" w:rsidR="00AC02C7" w:rsidRPr="0043765B" w:rsidRDefault="00AC02C7" w:rsidP="0043765B">
            <w:pPr>
              <w:pStyle w:val="NormalWeb"/>
              <w:spacing w:before="0" w:beforeAutospacing="0" w:line="270" w:lineRule="atLeast"/>
              <w:jc w:val="center"/>
              <w:rPr>
                <w:rFonts w:ascii="Helvetica Neue" w:hAnsi="Helvetica Neue"/>
                <w:b/>
                <w:color w:val="555555"/>
                <w:sz w:val="16"/>
                <w:szCs w:val="16"/>
              </w:rPr>
            </w:pPr>
            <w:r w:rsidRPr="0043765B">
              <w:rPr>
                <w:rFonts w:ascii="Helvetica Neue" w:hAnsi="Helvetica Neue"/>
                <w:b/>
                <w:color w:val="555555"/>
                <w:sz w:val="16"/>
                <w:szCs w:val="16"/>
              </w:rPr>
              <w:t>Vikt</w:t>
            </w:r>
          </w:p>
        </w:tc>
        <w:tc>
          <w:tcPr>
            <w:tcW w:w="2127" w:type="dxa"/>
            <w:vMerge w:val="restart"/>
            <w:tcMar>
              <w:left w:w="0" w:type="dxa"/>
              <w:right w:w="0" w:type="dxa"/>
            </w:tcMar>
            <w:vAlign w:val="center"/>
          </w:tcPr>
          <w:p w14:paraId="74EE11CE" w14:textId="77777777" w:rsidR="00AC02C7" w:rsidRPr="0043765B" w:rsidRDefault="00AC02C7" w:rsidP="0043765B">
            <w:pPr>
              <w:pStyle w:val="NormalWeb"/>
              <w:spacing w:before="0" w:beforeAutospacing="0" w:line="270" w:lineRule="atLeast"/>
              <w:jc w:val="center"/>
              <w:rPr>
                <w:rFonts w:ascii="Helvetica Neue" w:hAnsi="Helvetica Neue"/>
                <w:b/>
                <w:color w:val="555555"/>
                <w:sz w:val="16"/>
                <w:szCs w:val="16"/>
              </w:rPr>
            </w:pPr>
            <w:r w:rsidRPr="0043765B">
              <w:rPr>
                <w:rFonts w:ascii="Helvetica Neue" w:hAnsi="Helvetica Neue"/>
                <w:b/>
                <w:color w:val="555555"/>
                <w:sz w:val="16"/>
                <w:szCs w:val="16"/>
              </w:rPr>
              <w:t>Mått</w:t>
            </w:r>
          </w:p>
        </w:tc>
      </w:tr>
      <w:tr w:rsidR="00AC02C7" w:rsidRPr="00D51AF4" w14:paraId="6071A752" w14:textId="77777777" w:rsidTr="00AC02C7">
        <w:trPr>
          <w:trHeight w:val="340"/>
        </w:trPr>
        <w:tc>
          <w:tcPr>
            <w:tcW w:w="1706" w:type="dxa"/>
            <w:vMerge/>
            <w:tcMar>
              <w:left w:w="0" w:type="dxa"/>
              <w:right w:w="0" w:type="dxa"/>
            </w:tcMar>
            <w:vAlign w:val="center"/>
          </w:tcPr>
          <w:p w14:paraId="7BDBFA47" w14:textId="77777777" w:rsidR="00AC02C7" w:rsidRPr="0043765B" w:rsidRDefault="00AC02C7" w:rsidP="0043765B">
            <w:pPr>
              <w:pStyle w:val="NormalWeb"/>
              <w:spacing w:before="0" w:beforeAutospacing="0" w:line="270" w:lineRule="atLeast"/>
              <w:jc w:val="center"/>
              <w:rPr>
                <w:rFonts w:ascii="Helvetica Neue" w:hAnsi="Helvetica Neue"/>
                <w:b/>
                <w:color w:val="555555"/>
                <w:sz w:val="16"/>
                <w:szCs w:val="16"/>
              </w:rPr>
            </w:pPr>
          </w:p>
        </w:tc>
        <w:tc>
          <w:tcPr>
            <w:tcW w:w="567" w:type="dxa"/>
            <w:vMerge/>
            <w:tcMar>
              <w:left w:w="0" w:type="dxa"/>
              <w:right w:w="0" w:type="dxa"/>
            </w:tcMar>
            <w:vAlign w:val="center"/>
          </w:tcPr>
          <w:p w14:paraId="411D7685" w14:textId="77777777" w:rsidR="00AC02C7" w:rsidRPr="0043765B" w:rsidRDefault="00AC02C7" w:rsidP="0043765B">
            <w:pPr>
              <w:pStyle w:val="NormalWeb"/>
              <w:spacing w:before="0" w:beforeAutospacing="0" w:line="270" w:lineRule="atLeast"/>
              <w:jc w:val="center"/>
              <w:rPr>
                <w:rFonts w:ascii="Helvetica Neue" w:hAnsi="Helvetica Neue"/>
                <w:b/>
                <w:color w:val="555555"/>
                <w:sz w:val="16"/>
                <w:szCs w:val="16"/>
              </w:rPr>
            </w:pPr>
          </w:p>
        </w:tc>
        <w:tc>
          <w:tcPr>
            <w:tcW w:w="2127" w:type="dxa"/>
            <w:vMerge/>
            <w:tcMar>
              <w:left w:w="0" w:type="dxa"/>
              <w:right w:w="0" w:type="dxa"/>
            </w:tcMar>
            <w:vAlign w:val="center"/>
          </w:tcPr>
          <w:p w14:paraId="2258A88E" w14:textId="77777777" w:rsidR="00AC02C7" w:rsidRPr="0043765B" w:rsidRDefault="00AC02C7" w:rsidP="0043765B">
            <w:pPr>
              <w:pStyle w:val="NormalWeb"/>
              <w:spacing w:before="0" w:beforeAutospacing="0" w:line="270" w:lineRule="atLeast"/>
              <w:jc w:val="center"/>
              <w:rPr>
                <w:rFonts w:ascii="Helvetica Neue" w:hAnsi="Helvetica Neue"/>
                <w:b/>
                <w:color w:val="555555"/>
                <w:sz w:val="16"/>
                <w:szCs w:val="16"/>
              </w:rPr>
            </w:pPr>
          </w:p>
        </w:tc>
      </w:tr>
      <w:tr w:rsidR="00AC02C7" w:rsidRPr="00D51AF4" w14:paraId="3E98A7C2" w14:textId="77777777" w:rsidTr="00AC02C7">
        <w:trPr>
          <w:trHeight w:val="340"/>
        </w:trPr>
        <w:tc>
          <w:tcPr>
            <w:tcW w:w="1706" w:type="dxa"/>
            <w:tcMar>
              <w:left w:w="0" w:type="dxa"/>
              <w:right w:w="0" w:type="dxa"/>
            </w:tcMar>
            <w:vAlign w:val="center"/>
          </w:tcPr>
          <w:p w14:paraId="032CD6B9" w14:textId="7777777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Belåning</w:t>
            </w:r>
          </w:p>
        </w:tc>
        <w:tc>
          <w:tcPr>
            <w:tcW w:w="567" w:type="dxa"/>
            <w:tcMar>
              <w:left w:w="0" w:type="dxa"/>
              <w:right w:w="0" w:type="dxa"/>
            </w:tcMar>
            <w:vAlign w:val="center"/>
          </w:tcPr>
          <w:p w14:paraId="6A363A31" w14:textId="12E31EDE"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30%</w:t>
            </w:r>
          </w:p>
        </w:tc>
        <w:tc>
          <w:tcPr>
            <w:tcW w:w="2127" w:type="dxa"/>
            <w:tcMar>
              <w:left w:w="0" w:type="dxa"/>
              <w:right w:w="0" w:type="dxa"/>
            </w:tcMar>
            <w:vAlign w:val="center"/>
          </w:tcPr>
          <w:p w14:paraId="3D63527A" w14:textId="7F25617F"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Lån per kvm</w:t>
            </w:r>
          </w:p>
        </w:tc>
      </w:tr>
      <w:tr w:rsidR="00AC02C7" w:rsidRPr="00D51AF4" w14:paraId="6A0DE4CD" w14:textId="77777777" w:rsidTr="00AC02C7">
        <w:trPr>
          <w:trHeight w:val="340"/>
        </w:trPr>
        <w:tc>
          <w:tcPr>
            <w:tcW w:w="1706" w:type="dxa"/>
            <w:tcMar>
              <w:left w:w="0" w:type="dxa"/>
              <w:right w:w="0" w:type="dxa"/>
            </w:tcMar>
            <w:vAlign w:val="center"/>
          </w:tcPr>
          <w:p w14:paraId="01689D77" w14:textId="0322CA3B"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Avgiftsnivå</w:t>
            </w:r>
          </w:p>
        </w:tc>
        <w:tc>
          <w:tcPr>
            <w:tcW w:w="567" w:type="dxa"/>
            <w:tcMar>
              <w:left w:w="0" w:type="dxa"/>
              <w:right w:w="0" w:type="dxa"/>
            </w:tcMar>
            <w:vAlign w:val="center"/>
          </w:tcPr>
          <w:p w14:paraId="256D857F" w14:textId="7777777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20%</w:t>
            </w:r>
          </w:p>
        </w:tc>
        <w:tc>
          <w:tcPr>
            <w:tcW w:w="2127" w:type="dxa"/>
            <w:tcMar>
              <w:left w:w="0" w:type="dxa"/>
              <w:right w:w="0" w:type="dxa"/>
            </w:tcMar>
            <w:vAlign w:val="center"/>
          </w:tcPr>
          <w:p w14:paraId="75A71381" w14:textId="7777777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Avgift per kvm</w:t>
            </w:r>
          </w:p>
        </w:tc>
      </w:tr>
      <w:tr w:rsidR="00AC02C7" w:rsidRPr="00D51AF4" w14:paraId="1923C85E" w14:textId="77777777" w:rsidTr="00AC02C7">
        <w:trPr>
          <w:trHeight w:val="340"/>
        </w:trPr>
        <w:tc>
          <w:tcPr>
            <w:tcW w:w="1706" w:type="dxa"/>
            <w:tcMar>
              <w:left w:w="0" w:type="dxa"/>
              <w:right w:w="0" w:type="dxa"/>
            </w:tcMar>
            <w:vAlign w:val="center"/>
          </w:tcPr>
          <w:p w14:paraId="320F712D" w14:textId="15E12944"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Hyresintäkter</w:t>
            </w:r>
            <w:r>
              <w:rPr>
                <w:rFonts w:ascii="Helvetica Neue" w:hAnsi="Helvetica Neue"/>
                <w:color w:val="555555"/>
                <w:sz w:val="16"/>
                <w:szCs w:val="16"/>
              </w:rPr>
              <w:t xml:space="preserve"> och övriga intäkter</w:t>
            </w:r>
          </w:p>
        </w:tc>
        <w:tc>
          <w:tcPr>
            <w:tcW w:w="567" w:type="dxa"/>
            <w:tcMar>
              <w:left w:w="0" w:type="dxa"/>
              <w:right w:w="0" w:type="dxa"/>
            </w:tcMar>
            <w:vAlign w:val="center"/>
          </w:tcPr>
          <w:p w14:paraId="1575A9FC" w14:textId="7777777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10%</w:t>
            </w:r>
          </w:p>
        </w:tc>
        <w:tc>
          <w:tcPr>
            <w:tcW w:w="2127" w:type="dxa"/>
            <w:tcMar>
              <w:left w:w="0" w:type="dxa"/>
              <w:right w:w="0" w:type="dxa"/>
            </w:tcMar>
            <w:vAlign w:val="center"/>
          </w:tcPr>
          <w:p w14:paraId="5E06EBD5" w14:textId="6F150EAE"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Hyreintäker</w:t>
            </w:r>
            <w:r>
              <w:rPr>
                <w:rFonts w:ascii="Helvetica Neue" w:hAnsi="Helvetica Neue"/>
                <w:color w:val="555555"/>
                <w:sz w:val="16"/>
                <w:szCs w:val="16"/>
              </w:rPr>
              <w:t xml:space="preserve"> och övriga intäkter</w:t>
            </w:r>
            <w:r w:rsidRPr="0043765B">
              <w:rPr>
                <w:rFonts w:ascii="Helvetica Neue" w:hAnsi="Helvetica Neue"/>
                <w:color w:val="555555"/>
                <w:sz w:val="16"/>
                <w:szCs w:val="16"/>
              </w:rPr>
              <w:t xml:space="preserve"> / Total intäkter</w:t>
            </w:r>
            <w:r>
              <w:rPr>
                <w:rFonts w:ascii="Helvetica Neue" w:hAnsi="Helvetica Neue"/>
                <w:color w:val="555555"/>
                <w:sz w:val="16"/>
                <w:szCs w:val="16"/>
              </w:rPr>
              <w:t xml:space="preserve"> (%)</w:t>
            </w:r>
          </w:p>
        </w:tc>
      </w:tr>
      <w:tr w:rsidR="00AC02C7" w:rsidRPr="00D51AF4" w14:paraId="53D4B7A2" w14:textId="77777777" w:rsidTr="00AC02C7">
        <w:trPr>
          <w:trHeight w:val="340"/>
        </w:trPr>
        <w:tc>
          <w:tcPr>
            <w:tcW w:w="1706" w:type="dxa"/>
            <w:tcMar>
              <w:left w:w="0" w:type="dxa"/>
              <w:right w:w="0" w:type="dxa"/>
            </w:tcMar>
            <w:vAlign w:val="center"/>
          </w:tcPr>
          <w:p w14:paraId="0CCA7B38" w14:textId="666E18D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Drift- och underhållskostnader</w:t>
            </w:r>
          </w:p>
        </w:tc>
        <w:tc>
          <w:tcPr>
            <w:tcW w:w="567" w:type="dxa"/>
            <w:tcMar>
              <w:left w:w="0" w:type="dxa"/>
              <w:right w:w="0" w:type="dxa"/>
            </w:tcMar>
            <w:vAlign w:val="center"/>
          </w:tcPr>
          <w:p w14:paraId="4EE5C83E" w14:textId="7777777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10%</w:t>
            </w:r>
          </w:p>
        </w:tc>
        <w:tc>
          <w:tcPr>
            <w:tcW w:w="2127" w:type="dxa"/>
            <w:tcMar>
              <w:left w:w="0" w:type="dxa"/>
              <w:right w:w="0" w:type="dxa"/>
            </w:tcMar>
            <w:vAlign w:val="center"/>
          </w:tcPr>
          <w:p w14:paraId="603FD581" w14:textId="7777777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OPEX per kvm</w:t>
            </w:r>
          </w:p>
        </w:tc>
      </w:tr>
      <w:tr w:rsidR="00AC02C7" w:rsidRPr="007E0592" w14:paraId="7F846E64" w14:textId="77777777" w:rsidTr="00AC02C7">
        <w:trPr>
          <w:trHeight w:val="340"/>
        </w:trPr>
        <w:tc>
          <w:tcPr>
            <w:tcW w:w="1706" w:type="dxa"/>
            <w:tcMar>
              <w:left w:w="0" w:type="dxa"/>
              <w:right w:w="0" w:type="dxa"/>
            </w:tcMar>
            <w:vAlign w:val="center"/>
          </w:tcPr>
          <w:p w14:paraId="21A30284" w14:textId="168BE57F"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Räntekostnader</w:t>
            </w:r>
          </w:p>
        </w:tc>
        <w:tc>
          <w:tcPr>
            <w:tcW w:w="567" w:type="dxa"/>
            <w:tcMar>
              <w:left w:w="0" w:type="dxa"/>
              <w:right w:w="0" w:type="dxa"/>
            </w:tcMar>
            <w:vAlign w:val="center"/>
          </w:tcPr>
          <w:p w14:paraId="05A440D2" w14:textId="0FEFF3A9"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10%</w:t>
            </w:r>
          </w:p>
        </w:tc>
        <w:tc>
          <w:tcPr>
            <w:tcW w:w="2127" w:type="dxa"/>
            <w:tcMar>
              <w:left w:w="0" w:type="dxa"/>
              <w:right w:w="0" w:type="dxa"/>
            </w:tcMar>
            <w:vAlign w:val="center"/>
          </w:tcPr>
          <w:p w14:paraId="09577AFB" w14:textId="157FDF90"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Räntekostnader per kvm</w:t>
            </w:r>
          </w:p>
        </w:tc>
      </w:tr>
      <w:tr w:rsidR="00AC02C7" w:rsidRPr="00D51AF4" w14:paraId="4F09D57B" w14:textId="77777777" w:rsidTr="00AC02C7">
        <w:trPr>
          <w:trHeight w:val="340"/>
        </w:trPr>
        <w:tc>
          <w:tcPr>
            <w:tcW w:w="1706" w:type="dxa"/>
            <w:tcMar>
              <w:left w:w="0" w:type="dxa"/>
              <w:right w:w="0" w:type="dxa"/>
            </w:tcMar>
            <w:vAlign w:val="center"/>
          </w:tcPr>
          <w:p w14:paraId="2295ADC0" w14:textId="7777777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Kassaflöde</w:t>
            </w:r>
          </w:p>
        </w:tc>
        <w:tc>
          <w:tcPr>
            <w:tcW w:w="567" w:type="dxa"/>
            <w:tcMar>
              <w:left w:w="0" w:type="dxa"/>
              <w:right w:w="0" w:type="dxa"/>
            </w:tcMar>
            <w:vAlign w:val="center"/>
          </w:tcPr>
          <w:p w14:paraId="633767CE" w14:textId="3496BA8F"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20%</w:t>
            </w:r>
          </w:p>
        </w:tc>
        <w:tc>
          <w:tcPr>
            <w:tcW w:w="2127" w:type="dxa"/>
            <w:tcMar>
              <w:left w:w="0" w:type="dxa"/>
              <w:right w:w="0" w:type="dxa"/>
            </w:tcMar>
            <w:vAlign w:val="center"/>
          </w:tcPr>
          <w:p w14:paraId="5F96277F" w14:textId="77777777"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Kassaflöde per kvm</w:t>
            </w:r>
          </w:p>
        </w:tc>
      </w:tr>
      <w:tr w:rsidR="00AC02C7" w:rsidRPr="00D51AF4" w14:paraId="1B807AF9" w14:textId="77777777" w:rsidTr="00AC02C7">
        <w:trPr>
          <w:trHeight w:val="340"/>
        </w:trPr>
        <w:tc>
          <w:tcPr>
            <w:tcW w:w="1706" w:type="dxa"/>
            <w:tcMar>
              <w:left w:w="0" w:type="dxa"/>
              <w:right w:w="0" w:type="dxa"/>
            </w:tcMar>
            <w:vAlign w:val="center"/>
          </w:tcPr>
          <w:p w14:paraId="3FC5173A" w14:textId="0DD58476"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Skatteskyldighet</w:t>
            </w:r>
          </w:p>
        </w:tc>
        <w:tc>
          <w:tcPr>
            <w:tcW w:w="567" w:type="dxa"/>
            <w:tcMar>
              <w:left w:w="0" w:type="dxa"/>
              <w:right w:w="0" w:type="dxa"/>
            </w:tcMar>
            <w:vAlign w:val="center"/>
          </w:tcPr>
          <w:p w14:paraId="0718D9DA" w14:textId="53474D93"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w:t>
            </w:r>
          </w:p>
        </w:tc>
        <w:tc>
          <w:tcPr>
            <w:tcW w:w="2127" w:type="dxa"/>
            <w:tcMar>
              <w:left w:w="0" w:type="dxa"/>
              <w:right w:w="0" w:type="dxa"/>
            </w:tcMar>
            <w:vAlign w:val="center"/>
          </w:tcPr>
          <w:p w14:paraId="5F6A2223" w14:textId="7177EEC5" w:rsidR="00AC02C7" w:rsidRPr="0043765B" w:rsidRDefault="00AC02C7" w:rsidP="0043765B">
            <w:pPr>
              <w:pStyle w:val="NormalWeb"/>
              <w:spacing w:before="0" w:beforeAutospacing="0" w:line="270" w:lineRule="atLeast"/>
              <w:jc w:val="center"/>
              <w:rPr>
                <w:rFonts w:ascii="Helvetica Neue" w:hAnsi="Helvetica Neue"/>
                <w:color w:val="555555"/>
                <w:sz w:val="16"/>
                <w:szCs w:val="16"/>
              </w:rPr>
            </w:pPr>
            <w:r w:rsidRPr="0043765B">
              <w:rPr>
                <w:rFonts w:ascii="Helvetica Neue" w:hAnsi="Helvetica Neue"/>
                <w:color w:val="555555"/>
                <w:sz w:val="16"/>
                <w:szCs w:val="16"/>
              </w:rPr>
              <w:t>Äkta/Oäkta</w:t>
            </w:r>
          </w:p>
        </w:tc>
      </w:tr>
    </w:tbl>
    <w:p w14:paraId="0C083C53" w14:textId="77777777" w:rsidR="00290848" w:rsidRDefault="00290848" w:rsidP="00290848">
      <w:pPr>
        <w:spacing w:after="100" w:afterAutospacing="1" w:line="270" w:lineRule="atLeast"/>
      </w:pPr>
    </w:p>
    <w:p w14:paraId="32FF04FC" w14:textId="74E9FB2F" w:rsidR="00290848" w:rsidRPr="00F94CEE" w:rsidRDefault="00D92AF6" w:rsidP="00290848">
      <w:pPr>
        <w:spacing w:after="100" w:afterAutospacing="1" w:line="270" w:lineRule="atLeast"/>
        <w:rPr>
          <w:rFonts w:ascii="Helvetica Neue" w:hAnsi="Helvetica Neue" w:cs="Times New Roman"/>
          <w:color w:val="555555"/>
          <w:sz w:val="20"/>
          <w:szCs w:val="20"/>
          <w:lang w:val="en-US"/>
        </w:rPr>
      </w:pPr>
      <w:r>
        <w:rPr>
          <w:rFonts w:ascii="Helvetica Neue" w:hAnsi="Helvetica Neue" w:cs="Times New Roman"/>
          <w:color w:val="555555"/>
          <w:sz w:val="20"/>
          <w:szCs w:val="20"/>
          <w:lang w:val="en-US"/>
        </w:rPr>
        <w:t>(Källa: allabrf.se, 2015-09-16)</w:t>
      </w:r>
    </w:p>
    <w:p w14:paraId="522D84BD" w14:textId="77777777" w:rsidR="00B676C9" w:rsidRPr="00435345" w:rsidRDefault="00B676C9" w:rsidP="00886558">
      <w:pPr>
        <w:spacing w:after="100" w:afterAutospacing="1" w:line="270" w:lineRule="atLeast"/>
      </w:pPr>
    </w:p>
    <w:sectPr w:rsidR="00B676C9" w:rsidRPr="00435345" w:rsidSect="00E5079D">
      <w:headerReference w:type="default" r:id="rId7"/>
      <w:pgSz w:w="11900" w:h="16840"/>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3015" w14:textId="77777777" w:rsidR="00176501" w:rsidRDefault="00176501" w:rsidP="00612862">
      <w:r>
        <w:separator/>
      </w:r>
    </w:p>
  </w:endnote>
  <w:endnote w:type="continuationSeparator" w:id="0">
    <w:p w14:paraId="5D29BEC9" w14:textId="77777777" w:rsidR="00176501" w:rsidRDefault="00176501" w:rsidP="006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C065" w14:textId="77777777" w:rsidR="00176501" w:rsidRDefault="00176501" w:rsidP="00612862">
      <w:r>
        <w:separator/>
      </w:r>
    </w:p>
  </w:footnote>
  <w:footnote w:type="continuationSeparator" w:id="0">
    <w:p w14:paraId="0B0222B8" w14:textId="77777777" w:rsidR="00176501" w:rsidRDefault="00176501" w:rsidP="00612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3918" w14:textId="77777777" w:rsidR="00176501" w:rsidRDefault="00176501" w:rsidP="006A5EE4">
    <w:pPr>
      <w:pStyle w:val="Header"/>
    </w:pPr>
    <w:r>
      <w:rPr>
        <w:noProof/>
        <w:lang w:val="en-US"/>
      </w:rPr>
      <w:drawing>
        <wp:inline distT="0" distB="0" distL="0" distR="0" wp14:anchorId="4E894683" wp14:editId="0362F067">
          <wp:extent cx="1043478"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brf_logo_purple_small.png"/>
                  <pic:cNvPicPr/>
                </pic:nvPicPr>
                <pic:blipFill rotWithShape="1">
                  <a:blip r:embed="rId1">
                    <a:extLst>
                      <a:ext uri="{28A0092B-C50C-407E-A947-70E740481C1C}">
                        <a14:useLocalDpi xmlns:a14="http://schemas.microsoft.com/office/drawing/2010/main" val="0"/>
                      </a:ext>
                    </a:extLst>
                  </a:blip>
                  <a:srcRect t="33616" b="31884"/>
                  <a:stretch/>
                </pic:blipFill>
                <pic:spPr bwMode="auto">
                  <a:xfrm>
                    <a:off x="0" y="0"/>
                    <a:ext cx="1043478" cy="360000"/>
                  </a:xfrm>
                  <a:prstGeom prst="rect">
                    <a:avLst/>
                  </a:prstGeom>
                  <a:ln>
                    <a:noFill/>
                  </a:ln>
                  <a:extLst>
                    <a:ext uri="{53640926-AAD7-44d8-BBD7-CCE9431645EC}">
                      <a14:shadowObscured xmlns:a14="http://schemas.microsoft.com/office/drawing/2010/main"/>
                    </a:ext>
                  </a:extLst>
                </pic:spPr>
              </pic:pic>
            </a:graphicData>
          </a:graphic>
        </wp:inline>
      </w:drawing>
    </w:r>
  </w:p>
  <w:p w14:paraId="773547F7" w14:textId="50F77A0C" w:rsidR="00176501" w:rsidRPr="006A5EE4" w:rsidRDefault="00176501" w:rsidP="006A5EE4">
    <w:pPr>
      <w:pStyle w:val="Header"/>
      <w:jc w:val="right"/>
      <w:rPr>
        <w:rFonts w:ascii="Helvetica" w:hAnsi="Helvetica"/>
        <w:b/>
        <w:sz w:val="20"/>
        <w:szCs w:val="20"/>
      </w:rPr>
    </w:pPr>
    <w:r>
      <w:rPr>
        <w:rFonts w:ascii="Helvetica" w:hAnsi="Helvetica"/>
        <w:b/>
        <w:sz w:val="20"/>
        <w:szCs w:val="20"/>
      </w:rPr>
      <w:t>2015-09-16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2D"/>
    <w:rsid w:val="000269B4"/>
    <w:rsid w:val="000417D3"/>
    <w:rsid w:val="000F63CC"/>
    <w:rsid w:val="00110EF7"/>
    <w:rsid w:val="00126114"/>
    <w:rsid w:val="00140CDC"/>
    <w:rsid w:val="001436F0"/>
    <w:rsid w:val="001453F5"/>
    <w:rsid w:val="00146067"/>
    <w:rsid w:val="00157B7E"/>
    <w:rsid w:val="00176501"/>
    <w:rsid w:val="00190A0E"/>
    <w:rsid w:val="001D05D8"/>
    <w:rsid w:val="001D1225"/>
    <w:rsid w:val="001D63E0"/>
    <w:rsid w:val="002833A4"/>
    <w:rsid w:val="00290848"/>
    <w:rsid w:val="002B6228"/>
    <w:rsid w:val="002C2DFC"/>
    <w:rsid w:val="002F311C"/>
    <w:rsid w:val="00304B9F"/>
    <w:rsid w:val="00322306"/>
    <w:rsid w:val="00331CA6"/>
    <w:rsid w:val="00356CCE"/>
    <w:rsid w:val="003873CD"/>
    <w:rsid w:val="00390984"/>
    <w:rsid w:val="00393737"/>
    <w:rsid w:val="0041529D"/>
    <w:rsid w:val="00432C4B"/>
    <w:rsid w:val="00435345"/>
    <w:rsid w:val="0043765B"/>
    <w:rsid w:val="00444CDE"/>
    <w:rsid w:val="00447813"/>
    <w:rsid w:val="004502D4"/>
    <w:rsid w:val="00494EEE"/>
    <w:rsid w:val="004A1B49"/>
    <w:rsid w:val="004C2239"/>
    <w:rsid w:val="00545B34"/>
    <w:rsid w:val="0055387C"/>
    <w:rsid w:val="005B127A"/>
    <w:rsid w:val="005E5C21"/>
    <w:rsid w:val="005F1AD1"/>
    <w:rsid w:val="006115CA"/>
    <w:rsid w:val="00612862"/>
    <w:rsid w:val="00634F38"/>
    <w:rsid w:val="00646E74"/>
    <w:rsid w:val="006803F0"/>
    <w:rsid w:val="006A0897"/>
    <w:rsid w:val="006A5EE4"/>
    <w:rsid w:val="006A6C38"/>
    <w:rsid w:val="00717FF0"/>
    <w:rsid w:val="007D35D8"/>
    <w:rsid w:val="007E0592"/>
    <w:rsid w:val="007E4033"/>
    <w:rsid w:val="00886558"/>
    <w:rsid w:val="00895635"/>
    <w:rsid w:val="008C1F7D"/>
    <w:rsid w:val="008D03CE"/>
    <w:rsid w:val="008D1AF6"/>
    <w:rsid w:val="009935E4"/>
    <w:rsid w:val="009A773F"/>
    <w:rsid w:val="009B0F94"/>
    <w:rsid w:val="009B118C"/>
    <w:rsid w:val="00A07B18"/>
    <w:rsid w:val="00A165F4"/>
    <w:rsid w:val="00A72911"/>
    <w:rsid w:val="00AC02C7"/>
    <w:rsid w:val="00AC75F5"/>
    <w:rsid w:val="00AC7674"/>
    <w:rsid w:val="00B323D1"/>
    <w:rsid w:val="00B57819"/>
    <w:rsid w:val="00B676C9"/>
    <w:rsid w:val="00BA096F"/>
    <w:rsid w:val="00BB1870"/>
    <w:rsid w:val="00BB3D3F"/>
    <w:rsid w:val="00BB6393"/>
    <w:rsid w:val="00BF76EC"/>
    <w:rsid w:val="00C45C3D"/>
    <w:rsid w:val="00C56D2D"/>
    <w:rsid w:val="00C613F2"/>
    <w:rsid w:val="00D04860"/>
    <w:rsid w:val="00D41519"/>
    <w:rsid w:val="00D5013C"/>
    <w:rsid w:val="00D67132"/>
    <w:rsid w:val="00D92AF6"/>
    <w:rsid w:val="00D956E1"/>
    <w:rsid w:val="00DE75C0"/>
    <w:rsid w:val="00E23DD3"/>
    <w:rsid w:val="00E5079D"/>
    <w:rsid w:val="00E90221"/>
    <w:rsid w:val="00E93FB5"/>
    <w:rsid w:val="00F05119"/>
    <w:rsid w:val="00F11508"/>
    <w:rsid w:val="00F268B0"/>
    <w:rsid w:val="00F3670C"/>
    <w:rsid w:val="00F43364"/>
    <w:rsid w:val="00F67053"/>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A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 w:type="paragraph" w:styleId="ListParagraph">
    <w:name w:val="List Paragraph"/>
    <w:basedOn w:val="Normal"/>
    <w:uiPriority w:val="34"/>
    <w:qFormat/>
    <w:rsid w:val="005538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 w:type="paragraph" w:styleId="ListParagraph">
    <w:name w:val="List Paragraph"/>
    <w:basedOn w:val="Normal"/>
    <w:uiPriority w:val="34"/>
    <w:qFormat/>
    <w:rsid w:val="0055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7973">
      <w:bodyDiv w:val="1"/>
      <w:marLeft w:val="0"/>
      <w:marRight w:val="0"/>
      <w:marTop w:val="0"/>
      <w:marBottom w:val="0"/>
      <w:divBdr>
        <w:top w:val="none" w:sz="0" w:space="0" w:color="auto"/>
        <w:left w:val="none" w:sz="0" w:space="0" w:color="auto"/>
        <w:bottom w:val="none" w:sz="0" w:space="0" w:color="auto"/>
        <w:right w:val="none" w:sz="0" w:space="0" w:color="auto"/>
      </w:divBdr>
    </w:div>
    <w:div w:id="202912710">
      <w:bodyDiv w:val="1"/>
      <w:marLeft w:val="0"/>
      <w:marRight w:val="0"/>
      <w:marTop w:val="0"/>
      <w:marBottom w:val="0"/>
      <w:divBdr>
        <w:top w:val="none" w:sz="0" w:space="0" w:color="auto"/>
        <w:left w:val="none" w:sz="0" w:space="0" w:color="auto"/>
        <w:bottom w:val="none" w:sz="0" w:space="0" w:color="auto"/>
        <w:right w:val="none" w:sz="0" w:space="0" w:color="auto"/>
      </w:divBdr>
    </w:div>
    <w:div w:id="372926182">
      <w:bodyDiv w:val="1"/>
      <w:marLeft w:val="0"/>
      <w:marRight w:val="0"/>
      <w:marTop w:val="0"/>
      <w:marBottom w:val="0"/>
      <w:divBdr>
        <w:top w:val="none" w:sz="0" w:space="0" w:color="auto"/>
        <w:left w:val="none" w:sz="0" w:space="0" w:color="auto"/>
        <w:bottom w:val="none" w:sz="0" w:space="0" w:color="auto"/>
        <w:right w:val="none" w:sz="0" w:space="0" w:color="auto"/>
      </w:divBdr>
    </w:div>
    <w:div w:id="596253332">
      <w:bodyDiv w:val="1"/>
      <w:marLeft w:val="0"/>
      <w:marRight w:val="0"/>
      <w:marTop w:val="0"/>
      <w:marBottom w:val="0"/>
      <w:divBdr>
        <w:top w:val="none" w:sz="0" w:space="0" w:color="auto"/>
        <w:left w:val="none" w:sz="0" w:space="0" w:color="auto"/>
        <w:bottom w:val="none" w:sz="0" w:space="0" w:color="auto"/>
        <w:right w:val="none" w:sz="0" w:space="0" w:color="auto"/>
      </w:divBdr>
    </w:div>
    <w:div w:id="986086667">
      <w:bodyDiv w:val="1"/>
      <w:marLeft w:val="0"/>
      <w:marRight w:val="0"/>
      <w:marTop w:val="0"/>
      <w:marBottom w:val="0"/>
      <w:divBdr>
        <w:top w:val="none" w:sz="0" w:space="0" w:color="auto"/>
        <w:left w:val="none" w:sz="0" w:space="0" w:color="auto"/>
        <w:bottom w:val="none" w:sz="0" w:space="0" w:color="auto"/>
        <w:right w:val="none" w:sz="0" w:space="0" w:color="auto"/>
      </w:divBdr>
    </w:div>
    <w:div w:id="1091437970">
      <w:bodyDiv w:val="1"/>
      <w:marLeft w:val="0"/>
      <w:marRight w:val="0"/>
      <w:marTop w:val="0"/>
      <w:marBottom w:val="0"/>
      <w:divBdr>
        <w:top w:val="none" w:sz="0" w:space="0" w:color="auto"/>
        <w:left w:val="none" w:sz="0" w:space="0" w:color="auto"/>
        <w:bottom w:val="none" w:sz="0" w:space="0" w:color="auto"/>
        <w:right w:val="none" w:sz="0" w:space="0" w:color="auto"/>
      </w:divBdr>
    </w:div>
    <w:div w:id="1130825364">
      <w:bodyDiv w:val="1"/>
      <w:marLeft w:val="0"/>
      <w:marRight w:val="0"/>
      <w:marTop w:val="0"/>
      <w:marBottom w:val="0"/>
      <w:divBdr>
        <w:top w:val="none" w:sz="0" w:space="0" w:color="auto"/>
        <w:left w:val="none" w:sz="0" w:space="0" w:color="auto"/>
        <w:bottom w:val="none" w:sz="0" w:space="0" w:color="auto"/>
        <w:right w:val="none" w:sz="0" w:space="0" w:color="auto"/>
      </w:divBdr>
    </w:div>
    <w:div w:id="1202285731">
      <w:bodyDiv w:val="1"/>
      <w:marLeft w:val="0"/>
      <w:marRight w:val="0"/>
      <w:marTop w:val="0"/>
      <w:marBottom w:val="0"/>
      <w:divBdr>
        <w:top w:val="none" w:sz="0" w:space="0" w:color="auto"/>
        <w:left w:val="none" w:sz="0" w:space="0" w:color="auto"/>
        <w:bottom w:val="none" w:sz="0" w:space="0" w:color="auto"/>
        <w:right w:val="none" w:sz="0" w:space="0" w:color="auto"/>
      </w:divBdr>
    </w:div>
    <w:div w:id="1231040442">
      <w:bodyDiv w:val="1"/>
      <w:marLeft w:val="0"/>
      <w:marRight w:val="0"/>
      <w:marTop w:val="0"/>
      <w:marBottom w:val="0"/>
      <w:divBdr>
        <w:top w:val="none" w:sz="0" w:space="0" w:color="auto"/>
        <w:left w:val="none" w:sz="0" w:space="0" w:color="auto"/>
        <w:bottom w:val="none" w:sz="0" w:space="0" w:color="auto"/>
        <w:right w:val="none" w:sz="0" w:space="0" w:color="auto"/>
      </w:divBdr>
    </w:div>
    <w:div w:id="1420054152">
      <w:bodyDiv w:val="1"/>
      <w:marLeft w:val="0"/>
      <w:marRight w:val="0"/>
      <w:marTop w:val="0"/>
      <w:marBottom w:val="0"/>
      <w:divBdr>
        <w:top w:val="none" w:sz="0" w:space="0" w:color="auto"/>
        <w:left w:val="none" w:sz="0" w:space="0" w:color="auto"/>
        <w:bottom w:val="none" w:sz="0" w:space="0" w:color="auto"/>
        <w:right w:val="none" w:sz="0" w:space="0" w:color="auto"/>
      </w:divBdr>
    </w:div>
    <w:div w:id="1438718112">
      <w:bodyDiv w:val="1"/>
      <w:marLeft w:val="0"/>
      <w:marRight w:val="0"/>
      <w:marTop w:val="0"/>
      <w:marBottom w:val="0"/>
      <w:divBdr>
        <w:top w:val="none" w:sz="0" w:space="0" w:color="auto"/>
        <w:left w:val="none" w:sz="0" w:space="0" w:color="auto"/>
        <w:bottom w:val="none" w:sz="0" w:space="0" w:color="auto"/>
        <w:right w:val="none" w:sz="0" w:space="0" w:color="auto"/>
      </w:divBdr>
    </w:div>
    <w:div w:id="1614239936">
      <w:bodyDiv w:val="1"/>
      <w:marLeft w:val="0"/>
      <w:marRight w:val="0"/>
      <w:marTop w:val="0"/>
      <w:marBottom w:val="0"/>
      <w:divBdr>
        <w:top w:val="none" w:sz="0" w:space="0" w:color="auto"/>
        <w:left w:val="none" w:sz="0" w:space="0" w:color="auto"/>
        <w:bottom w:val="none" w:sz="0" w:space="0" w:color="auto"/>
        <w:right w:val="none" w:sz="0" w:space="0" w:color="auto"/>
      </w:divBdr>
    </w:div>
    <w:div w:id="1712535998">
      <w:bodyDiv w:val="1"/>
      <w:marLeft w:val="0"/>
      <w:marRight w:val="0"/>
      <w:marTop w:val="0"/>
      <w:marBottom w:val="0"/>
      <w:divBdr>
        <w:top w:val="none" w:sz="0" w:space="0" w:color="auto"/>
        <w:left w:val="none" w:sz="0" w:space="0" w:color="auto"/>
        <w:bottom w:val="none" w:sz="0" w:space="0" w:color="auto"/>
        <w:right w:val="none" w:sz="0" w:space="0" w:color="auto"/>
      </w:divBdr>
    </w:div>
    <w:div w:id="1716153926">
      <w:bodyDiv w:val="1"/>
      <w:marLeft w:val="0"/>
      <w:marRight w:val="0"/>
      <w:marTop w:val="0"/>
      <w:marBottom w:val="0"/>
      <w:divBdr>
        <w:top w:val="none" w:sz="0" w:space="0" w:color="auto"/>
        <w:left w:val="none" w:sz="0" w:space="0" w:color="auto"/>
        <w:bottom w:val="none" w:sz="0" w:space="0" w:color="auto"/>
        <w:right w:val="none" w:sz="0" w:space="0" w:color="auto"/>
      </w:divBdr>
    </w:div>
    <w:div w:id="1796364753">
      <w:bodyDiv w:val="1"/>
      <w:marLeft w:val="0"/>
      <w:marRight w:val="0"/>
      <w:marTop w:val="0"/>
      <w:marBottom w:val="0"/>
      <w:divBdr>
        <w:top w:val="none" w:sz="0" w:space="0" w:color="auto"/>
        <w:left w:val="none" w:sz="0" w:space="0" w:color="auto"/>
        <w:bottom w:val="none" w:sz="0" w:space="0" w:color="auto"/>
        <w:right w:val="none" w:sz="0" w:space="0" w:color="auto"/>
      </w:divBdr>
    </w:div>
    <w:div w:id="1934439189">
      <w:bodyDiv w:val="1"/>
      <w:marLeft w:val="0"/>
      <w:marRight w:val="0"/>
      <w:marTop w:val="0"/>
      <w:marBottom w:val="0"/>
      <w:divBdr>
        <w:top w:val="none" w:sz="0" w:space="0" w:color="auto"/>
        <w:left w:val="none" w:sz="0" w:space="0" w:color="auto"/>
        <w:bottom w:val="none" w:sz="0" w:space="0" w:color="auto"/>
        <w:right w:val="none" w:sz="0" w:space="0" w:color="auto"/>
      </w:divBdr>
    </w:div>
    <w:div w:id="1959333147">
      <w:bodyDiv w:val="1"/>
      <w:marLeft w:val="0"/>
      <w:marRight w:val="0"/>
      <w:marTop w:val="0"/>
      <w:marBottom w:val="0"/>
      <w:divBdr>
        <w:top w:val="none" w:sz="0" w:space="0" w:color="auto"/>
        <w:left w:val="none" w:sz="0" w:space="0" w:color="auto"/>
        <w:bottom w:val="none" w:sz="0" w:space="0" w:color="auto"/>
        <w:right w:val="none" w:sz="0" w:space="0" w:color="auto"/>
      </w:divBdr>
    </w:div>
    <w:div w:id="1973362008">
      <w:bodyDiv w:val="1"/>
      <w:marLeft w:val="0"/>
      <w:marRight w:val="0"/>
      <w:marTop w:val="0"/>
      <w:marBottom w:val="0"/>
      <w:divBdr>
        <w:top w:val="none" w:sz="0" w:space="0" w:color="auto"/>
        <w:left w:val="none" w:sz="0" w:space="0" w:color="auto"/>
        <w:bottom w:val="none" w:sz="0" w:space="0" w:color="auto"/>
        <w:right w:val="none" w:sz="0" w:space="0" w:color="auto"/>
      </w:divBdr>
    </w:div>
    <w:div w:id="2008901439">
      <w:bodyDiv w:val="1"/>
      <w:marLeft w:val="0"/>
      <w:marRight w:val="0"/>
      <w:marTop w:val="0"/>
      <w:marBottom w:val="0"/>
      <w:divBdr>
        <w:top w:val="none" w:sz="0" w:space="0" w:color="auto"/>
        <w:left w:val="none" w:sz="0" w:space="0" w:color="auto"/>
        <w:bottom w:val="none" w:sz="0" w:space="0" w:color="auto"/>
        <w:right w:val="none" w:sz="0" w:space="0" w:color="auto"/>
      </w:divBdr>
    </w:div>
    <w:div w:id="2054427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622</Words>
  <Characters>3550</Characters>
  <Application>Microsoft Macintosh Word</Application>
  <DocSecurity>0</DocSecurity>
  <Lines>29</Lines>
  <Paragraphs>8</Paragraphs>
  <ScaleCrop>false</ScaleCrop>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dc:creator>
  <cp:keywords/>
  <dc:description/>
  <cp:lastModifiedBy>Hampus</cp:lastModifiedBy>
  <cp:revision>4</cp:revision>
  <cp:lastPrinted>2015-08-16T22:53:00Z</cp:lastPrinted>
  <dcterms:created xsi:type="dcterms:W3CDTF">2015-09-15T15:28:00Z</dcterms:created>
  <dcterms:modified xsi:type="dcterms:W3CDTF">2015-09-15T21:04:00Z</dcterms:modified>
</cp:coreProperties>
</file>