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6F" w:rsidRPr="00A53215" w:rsidRDefault="002F01FA" w:rsidP="006B2C6F">
      <w:pPr>
        <w:pStyle w:val="Brdtext"/>
        <w:spacing w:after="240"/>
        <w:rPr>
          <w:lang w:val="sv-SE"/>
        </w:rPr>
      </w:pPr>
      <w:r>
        <w:rPr>
          <w:lang w:val="sv-SE"/>
        </w:rPr>
        <w:t>Europas byggmarknad</w:t>
      </w:r>
      <w:r w:rsidR="00DF57BC">
        <w:rPr>
          <w:lang w:val="sv-SE"/>
        </w:rPr>
        <w:t xml:space="preserve"> har passerat tillväxttoppen</w:t>
      </w:r>
    </w:p>
    <w:p w:rsidR="00301C5D" w:rsidRPr="00ED3F2F" w:rsidRDefault="00A00306" w:rsidP="00DA012D">
      <w:pPr>
        <w:rPr>
          <w:rFonts w:ascii="Calibri" w:hAnsi="Calibri" w:cs="Calibri"/>
          <w:b/>
        </w:rPr>
      </w:pPr>
      <w:r w:rsidRPr="00ED3F2F">
        <w:rPr>
          <w:rFonts w:ascii="Calibri" w:hAnsi="Calibri" w:cs="Calibri"/>
          <w:b/>
        </w:rPr>
        <w:t>De</w:t>
      </w:r>
      <w:r w:rsidR="007F73EE" w:rsidRPr="00ED3F2F">
        <w:rPr>
          <w:rFonts w:ascii="Calibri" w:hAnsi="Calibri" w:cs="Calibri"/>
          <w:b/>
        </w:rPr>
        <w:t>n</w:t>
      </w:r>
      <w:r w:rsidRPr="00ED3F2F">
        <w:rPr>
          <w:rFonts w:ascii="Calibri" w:hAnsi="Calibri" w:cs="Calibri"/>
          <w:b/>
        </w:rPr>
        <w:t xml:space="preserve"> </w:t>
      </w:r>
      <w:r w:rsidR="007F73EE" w:rsidRPr="00ED3F2F">
        <w:rPr>
          <w:rFonts w:ascii="Calibri" w:hAnsi="Calibri" w:cs="Calibri"/>
          <w:b/>
        </w:rPr>
        <w:t>europeiska</w:t>
      </w:r>
      <w:r w:rsidRPr="00ED3F2F">
        <w:rPr>
          <w:rFonts w:ascii="Calibri" w:hAnsi="Calibri" w:cs="Calibri"/>
          <w:b/>
        </w:rPr>
        <w:t xml:space="preserve"> bygg</w:t>
      </w:r>
      <w:r w:rsidR="007F73EE" w:rsidRPr="00ED3F2F">
        <w:rPr>
          <w:rFonts w:ascii="Calibri" w:hAnsi="Calibri" w:cs="Calibri"/>
          <w:b/>
        </w:rPr>
        <w:t>marknaden</w:t>
      </w:r>
      <w:r w:rsidR="00223CDC">
        <w:rPr>
          <w:rFonts w:ascii="Calibri" w:hAnsi="Calibri" w:cs="Calibri"/>
          <w:b/>
        </w:rPr>
        <w:t xml:space="preserve"> har</w:t>
      </w:r>
      <w:r w:rsidRPr="00ED3F2F">
        <w:rPr>
          <w:rFonts w:ascii="Calibri" w:hAnsi="Calibri" w:cs="Calibri"/>
          <w:b/>
        </w:rPr>
        <w:t xml:space="preserve"> </w:t>
      </w:r>
      <w:r w:rsidR="007F73EE" w:rsidRPr="00ED3F2F">
        <w:rPr>
          <w:rFonts w:ascii="Calibri" w:hAnsi="Calibri" w:cs="Calibri"/>
          <w:b/>
        </w:rPr>
        <w:t>återhämta</w:t>
      </w:r>
      <w:r w:rsidR="00223CDC">
        <w:rPr>
          <w:rFonts w:ascii="Calibri" w:hAnsi="Calibri" w:cs="Calibri"/>
          <w:b/>
        </w:rPr>
        <w:t>t sig</w:t>
      </w:r>
      <w:r w:rsidRPr="00ED3F2F">
        <w:rPr>
          <w:rFonts w:ascii="Calibri" w:hAnsi="Calibri" w:cs="Calibri"/>
          <w:b/>
        </w:rPr>
        <w:t xml:space="preserve"> på bred front </w:t>
      </w:r>
      <w:r w:rsidR="007F73EE" w:rsidRPr="00ED3F2F">
        <w:rPr>
          <w:rFonts w:ascii="Calibri" w:hAnsi="Calibri" w:cs="Calibri"/>
          <w:b/>
        </w:rPr>
        <w:t xml:space="preserve">och 2017 blev det första året sedan finanskrisen då investeringarna ökade inom alla tre huvudsegment (bostäder, lokaler, anläggning). I jämförelse med den </w:t>
      </w:r>
      <w:proofErr w:type="spellStart"/>
      <w:r w:rsidR="007F73EE" w:rsidRPr="00ED3F2F">
        <w:rPr>
          <w:rFonts w:ascii="Calibri" w:hAnsi="Calibri" w:cs="Calibri"/>
          <w:b/>
        </w:rPr>
        <w:t>Euroconstructrapport</w:t>
      </w:r>
      <w:proofErr w:type="spellEnd"/>
      <w:r w:rsidR="007F73EE" w:rsidRPr="00ED3F2F">
        <w:rPr>
          <w:rFonts w:ascii="Calibri" w:hAnsi="Calibri" w:cs="Calibri"/>
          <w:b/>
        </w:rPr>
        <w:t xml:space="preserve"> som publicerades i juni så </w:t>
      </w:r>
      <w:r w:rsidR="00223CDC">
        <w:rPr>
          <w:rFonts w:ascii="Calibri" w:hAnsi="Calibri" w:cs="Calibri"/>
          <w:b/>
        </w:rPr>
        <w:t>är</w:t>
      </w:r>
      <w:r w:rsidR="007F73EE" w:rsidRPr="00ED3F2F">
        <w:rPr>
          <w:rFonts w:ascii="Calibri" w:hAnsi="Calibri" w:cs="Calibri"/>
          <w:b/>
        </w:rPr>
        <w:t xml:space="preserve"> </w:t>
      </w:r>
      <w:r w:rsidR="00ED14C8">
        <w:rPr>
          <w:rFonts w:ascii="Calibri" w:hAnsi="Calibri" w:cs="Calibri"/>
          <w:b/>
        </w:rPr>
        <w:t>konjunktur</w:t>
      </w:r>
      <w:r w:rsidR="007F73EE" w:rsidRPr="00ED3F2F">
        <w:rPr>
          <w:rFonts w:ascii="Calibri" w:hAnsi="Calibri" w:cs="Calibri"/>
          <w:b/>
        </w:rPr>
        <w:t xml:space="preserve">förväntningarna </w:t>
      </w:r>
      <w:r w:rsidR="00223CDC">
        <w:rPr>
          <w:rFonts w:ascii="Calibri" w:hAnsi="Calibri" w:cs="Calibri"/>
          <w:b/>
        </w:rPr>
        <w:t>något nedjusterad</w:t>
      </w:r>
      <w:r w:rsidR="007F73EE" w:rsidRPr="00ED3F2F">
        <w:rPr>
          <w:rFonts w:ascii="Calibri" w:hAnsi="Calibri" w:cs="Calibri"/>
          <w:b/>
        </w:rPr>
        <w:t xml:space="preserve"> men det har inte påverkat</w:t>
      </w:r>
      <w:r w:rsidR="0074345A" w:rsidRPr="00ED3F2F">
        <w:rPr>
          <w:rFonts w:ascii="Calibri" w:hAnsi="Calibri" w:cs="Calibri"/>
          <w:b/>
        </w:rPr>
        <w:t xml:space="preserve"> medlemsländernas</w:t>
      </w:r>
      <w:r w:rsidR="007838FD">
        <w:rPr>
          <w:rFonts w:ascii="Calibri" w:hAnsi="Calibri" w:cs="Calibri"/>
          <w:b/>
        </w:rPr>
        <w:t xml:space="preserve"> tro på en f</w:t>
      </w:r>
      <w:r w:rsidR="00D44966">
        <w:rPr>
          <w:rFonts w:ascii="Calibri" w:hAnsi="Calibri" w:cs="Calibri"/>
          <w:b/>
        </w:rPr>
        <w:t>ortsatt, men försvagad</w:t>
      </w:r>
      <w:r w:rsidR="007838FD">
        <w:rPr>
          <w:rFonts w:ascii="Calibri" w:hAnsi="Calibri" w:cs="Calibri"/>
          <w:b/>
        </w:rPr>
        <w:t xml:space="preserve"> tillväxt</w:t>
      </w:r>
      <w:r w:rsidR="00ED14C8">
        <w:rPr>
          <w:rFonts w:ascii="Calibri" w:hAnsi="Calibri" w:cs="Calibri"/>
          <w:b/>
        </w:rPr>
        <w:t xml:space="preserve"> i bygginvesteringarna</w:t>
      </w:r>
      <w:r w:rsidR="0074345A" w:rsidRPr="00ED3F2F">
        <w:rPr>
          <w:rFonts w:ascii="Calibri" w:hAnsi="Calibri" w:cs="Calibri"/>
          <w:b/>
        </w:rPr>
        <w:t xml:space="preserve"> </w:t>
      </w:r>
      <w:r w:rsidR="007F73EE" w:rsidRPr="00ED3F2F">
        <w:rPr>
          <w:rFonts w:ascii="Calibri" w:hAnsi="Calibri" w:cs="Calibri"/>
          <w:b/>
        </w:rPr>
        <w:t xml:space="preserve">de kommande åren. </w:t>
      </w:r>
    </w:p>
    <w:p w:rsidR="00301C5D" w:rsidRPr="00ED3F2F" w:rsidRDefault="00223CDC" w:rsidP="00DA012D">
      <w:pPr>
        <w:rPr>
          <w:rFonts w:ascii="Calibri" w:hAnsi="Calibri" w:cs="Calibri"/>
          <w:sz w:val="20"/>
          <w:szCs w:val="20"/>
        </w:rPr>
      </w:pPr>
      <w:r>
        <w:rPr>
          <w:rFonts w:ascii="Calibri" w:hAnsi="Calibri" w:cs="Calibri"/>
          <w:sz w:val="20"/>
          <w:szCs w:val="20"/>
        </w:rPr>
        <w:t>De e</w:t>
      </w:r>
      <w:r w:rsidR="00301C5D" w:rsidRPr="00ED3F2F">
        <w:rPr>
          <w:rFonts w:ascii="Calibri" w:hAnsi="Calibri" w:cs="Calibri"/>
          <w:sz w:val="20"/>
          <w:szCs w:val="20"/>
        </w:rPr>
        <w:t>urop</w:t>
      </w:r>
      <w:r>
        <w:rPr>
          <w:rFonts w:ascii="Calibri" w:hAnsi="Calibri" w:cs="Calibri"/>
          <w:sz w:val="20"/>
          <w:szCs w:val="20"/>
        </w:rPr>
        <w:t>eiska bygginvesteringarna steg med 4,1 procent förra året</w:t>
      </w:r>
      <w:r w:rsidR="00301C5D" w:rsidRPr="00ED3F2F">
        <w:rPr>
          <w:rFonts w:ascii="Calibri" w:hAnsi="Calibri" w:cs="Calibri"/>
          <w:sz w:val="20"/>
          <w:szCs w:val="20"/>
        </w:rPr>
        <w:t xml:space="preserve"> men uppgången kommer från låga nivåer. </w:t>
      </w:r>
    </w:p>
    <w:p w:rsidR="0067174C" w:rsidRPr="00ED3F2F" w:rsidRDefault="00C86BD2" w:rsidP="0067174C">
      <w:pPr>
        <w:pStyle w:val="Liststycke"/>
        <w:numPr>
          <w:ilvl w:val="0"/>
          <w:numId w:val="1"/>
        </w:numPr>
        <w:rPr>
          <w:rFonts w:ascii="Calibri" w:hAnsi="Calibri" w:cs="Calibri"/>
          <w:sz w:val="20"/>
          <w:szCs w:val="20"/>
        </w:rPr>
      </w:pPr>
      <w:r w:rsidRPr="00ED3F2F">
        <w:rPr>
          <w:rFonts w:ascii="Calibri" w:hAnsi="Calibri" w:cs="Calibri"/>
          <w:noProof/>
          <w:sz w:val="20"/>
          <w:szCs w:val="20"/>
        </w:rPr>
        <w:drawing>
          <wp:anchor distT="0" distB="0" distL="114300" distR="114300" simplePos="0" relativeHeight="251658240" behindDoc="1" locked="0" layoutInCell="1" allowOverlap="1" wp14:anchorId="1585DCAA">
            <wp:simplePos x="0" y="0"/>
            <wp:positionH relativeFrom="column">
              <wp:posOffset>3283585</wp:posOffset>
            </wp:positionH>
            <wp:positionV relativeFrom="paragraph">
              <wp:posOffset>598170</wp:posOffset>
            </wp:positionV>
            <wp:extent cx="2247900" cy="1931670"/>
            <wp:effectExtent l="0" t="0" r="0" b="0"/>
            <wp:wrapTight wrapText="bothSides">
              <wp:wrapPolygon edited="0">
                <wp:start x="0" y="0"/>
                <wp:lineTo x="0" y="21089"/>
                <wp:lineTo x="21417" y="21089"/>
                <wp:lineTo x="2141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931670"/>
                    </a:xfrm>
                    <a:prstGeom prst="rect">
                      <a:avLst/>
                    </a:prstGeom>
                    <a:noFill/>
                  </pic:spPr>
                </pic:pic>
              </a:graphicData>
            </a:graphic>
            <wp14:sizeRelH relativeFrom="margin">
              <wp14:pctWidth>0</wp14:pctWidth>
            </wp14:sizeRelH>
            <wp14:sizeRelV relativeFrom="margin">
              <wp14:pctHeight>0</wp14:pctHeight>
            </wp14:sizeRelV>
          </wp:anchor>
        </w:drawing>
      </w:r>
      <w:r w:rsidR="00B12C60" w:rsidRPr="00ED3F2F">
        <w:rPr>
          <w:rFonts w:ascii="Calibri" w:hAnsi="Calibri" w:cs="Calibri"/>
          <w:sz w:val="20"/>
          <w:szCs w:val="20"/>
        </w:rPr>
        <w:t>De europeiska investeringarna i</w:t>
      </w:r>
      <w:r>
        <w:rPr>
          <w:rFonts w:ascii="Calibri" w:hAnsi="Calibri" w:cs="Calibri"/>
          <w:sz w:val="20"/>
          <w:szCs w:val="20"/>
        </w:rPr>
        <w:t xml:space="preserve"> till exempel</w:t>
      </w:r>
      <w:r w:rsidR="00B12C60" w:rsidRPr="00ED3F2F">
        <w:rPr>
          <w:rFonts w:ascii="Calibri" w:hAnsi="Calibri" w:cs="Calibri"/>
          <w:sz w:val="20"/>
          <w:szCs w:val="20"/>
        </w:rPr>
        <w:t xml:space="preserve"> nya bostäder har de senaste tre åren ökat med</w:t>
      </w:r>
      <w:r w:rsidR="00087DE0" w:rsidRPr="00ED3F2F">
        <w:rPr>
          <w:rFonts w:ascii="Calibri" w:hAnsi="Calibri" w:cs="Calibri"/>
          <w:sz w:val="20"/>
          <w:szCs w:val="20"/>
        </w:rPr>
        <w:t xml:space="preserve"> ca</w:t>
      </w:r>
      <w:r w:rsidR="00B12C60" w:rsidRPr="00ED3F2F">
        <w:rPr>
          <w:rFonts w:ascii="Calibri" w:hAnsi="Calibri" w:cs="Calibri"/>
          <w:sz w:val="20"/>
          <w:szCs w:val="20"/>
        </w:rPr>
        <w:t xml:space="preserve"> 25 procent vilket kan förefalla imponerande men bostadsbyggandet var under </w:t>
      </w:r>
      <w:r w:rsidR="00087DE0" w:rsidRPr="00ED3F2F">
        <w:rPr>
          <w:rFonts w:ascii="Calibri" w:hAnsi="Calibri" w:cs="Calibri"/>
          <w:sz w:val="20"/>
          <w:szCs w:val="20"/>
        </w:rPr>
        <w:t xml:space="preserve">2017 </w:t>
      </w:r>
      <w:r w:rsidR="00B12C60" w:rsidRPr="00ED3F2F">
        <w:rPr>
          <w:rFonts w:ascii="Calibri" w:hAnsi="Calibri" w:cs="Calibri"/>
          <w:sz w:val="20"/>
          <w:szCs w:val="20"/>
        </w:rPr>
        <w:t xml:space="preserve">fortfarande drygt 40 </w:t>
      </w:r>
      <w:r w:rsidR="00223CDC">
        <w:rPr>
          <w:rFonts w:ascii="Calibri" w:hAnsi="Calibri" w:cs="Calibri"/>
          <w:sz w:val="20"/>
          <w:szCs w:val="20"/>
        </w:rPr>
        <w:t>procent</w:t>
      </w:r>
      <w:r w:rsidR="00B12C60" w:rsidRPr="00ED3F2F">
        <w:rPr>
          <w:rFonts w:ascii="Calibri" w:hAnsi="Calibri" w:cs="Calibri"/>
          <w:sz w:val="20"/>
          <w:szCs w:val="20"/>
        </w:rPr>
        <w:t xml:space="preserve"> under de volymer vi såg strax innan finanskrisen</w:t>
      </w:r>
      <w:r w:rsidR="001153ED" w:rsidRPr="00ED3F2F">
        <w:rPr>
          <w:rFonts w:ascii="Calibri" w:hAnsi="Calibri" w:cs="Calibri"/>
          <w:sz w:val="20"/>
          <w:szCs w:val="20"/>
        </w:rPr>
        <w:t xml:space="preserve">, </w:t>
      </w:r>
      <w:r w:rsidR="00A0519A" w:rsidRPr="00ED3F2F">
        <w:rPr>
          <w:rFonts w:ascii="Calibri" w:hAnsi="Calibri" w:cs="Calibri"/>
          <w:sz w:val="20"/>
          <w:szCs w:val="20"/>
        </w:rPr>
        <w:t>säger Bengt Henricson, analytiker på Prognoscentret</w:t>
      </w:r>
      <w:r w:rsidR="00D837B9" w:rsidRPr="00ED3F2F">
        <w:rPr>
          <w:rFonts w:ascii="Calibri" w:hAnsi="Calibri" w:cs="Calibri"/>
          <w:sz w:val="20"/>
          <w:szCs w:val="20"/>
        </w:rPr>
        <w:t xml:space="preserve">. </w:t>
      </w:r>
    </w:p>
    <w:p w:rsidR="009E34DA" w:rsidRPr="00ED3F2F" w:rsidRDefault="009E34DA" w:rsidP="00757A7F">
      <w:pPr>
        <w:rPr>
          <w:rFonts w:ascii="Calibri" w:hAnsi="Calibri" w:cs="Calibri"/>
          <w:sz w:val="20"/>
          <w:szCs w:val="20"/>
        </w:rPr>
      </w:pPr>
      <w:r w:rsidRPr="00ED3F2F">
        <w:rPr>
          <w:rFonts w:ascii="Calibri" w:hAnsi="Calibri" w:cs="Calibri"/>
          <w:sz w:val="20"/>
          <w:szCs w:val="20"/>
        </w:rPr>
        <w:t xml:space="preserve">Byggsektorn i Europa gick igenom ett riktigt stålbad efter finanskrisen. </w:t>
      </w:r>
      <w:r w:rsidR="00DD03E0" w:rsidRPr="00ED3F2F">
        <w:rPr>
          <w:rFonts w:ascii="Calibri" w:hAnsi="Calibri" w:cs="Calibri"/>
          <w:sz w:val="20"/>
          <w:szCs w:val="20"/>
        </w:rPr>
        <w:t>B</w:t>
      </w:r>
      <w:r w:rsidR="000A1119" w:rsidRPr="00ED3F2F">
        <w:rPr>
          <w:rFonts w:ascii="Calibri" w:hAnsi="Calibri" w:cs="Calibri"/>
          <w:sz w:val="20"/>
          <w:szCs w:val="20"/>
        </w:rPr>
        <w:t>ostadsproduktionen</w:t>
      </w:r>
      <w:r w:rsidR="00DD03E0" w:rsidRPr="00ED3F2F">
        <w:rPr>
          <w:rFonts w:ascii="Calibri" w:hAnsi="Calibri" w:cs="Calibri"/>
          <w:sz w:val="20"/>
          <w:szCs w:val="20"/>
        </w:rPr>
        <w:t xml:space="preserve"> har</w:t>
      </w:r>
      <w:r w:rsidR="000A1119" w:rsidRPr="00ED3F2F">
        <w:rPr>
          <w:rFonts w:ascii="Calibri" w:hAnsi="Calibri" w:cs="Calibri"/>
          <w:sz w:val="20"/>
          <w:szCs w:val="20"/>
        </w:rPr>
        <w:t xml:space="preserve"> agera</w:t>
      </w:r>
      <w:r w:rsidRPr="00ED3F2F">
        <w:rPr>
          <w:rFonts w:ascii="Calibri" w:hAnsi="Calibri" w:cs="Calibri"/>
          <w:sz w:val="20"/>
          <w:szCs w:val="20"/>
        </w:rPr>
        <w:t>t</w:t>
      </w:r>
      <w:r w:rsidR="000A1119" w:rsidRPr="00ED3F2F">
        <w:rPr>
          <w:rFonts w:ascii="Calibri" w:hAnsi="Calibri" w:cs="Calibri"/>
          <w:sz w:val="20"/>
          <w:szCs w:val="20"/>
        </w:rPr>
        <w:t xml:space="preserve"> draglok i </w:t>
      </w:r>
      <w:r w:rsidRPr="00ED3F2F">
        <w:rPr>
          <w:rFonts w:ascii="Calibri" w:hAnsi="Calibri" w:cs="Calibri"/>
          <w:sz w:val="20"/>
          <w:szCs w:val="20"/>
        </w:rPr>
        <w:t>uppgången</w:t>
      </w:r>
      <w:r w:rsidR="000A1119" w:rsidRPr="00ED3F2F">
        <w:rPr>
          <w:rFonts w:ascii="Calibri" w:hAnsi="Calibri" w:cs="Calibri"/>
          <w:sz w:val="20"/>
          <w:szCs w:val="20"/>
        </w:rPr>
        <w:t xml:space="preserve"> de senaste åren men från och med nästa år mattas investeringstak</w:t>
      </w:r>
      <w:bookmarkStart w:id="0" w:name="_GoBack"/>
      <w:bookmarkEnd w:id="0"/>
      <w:r w:rsidR="000A1119" w:rsidRPr="00ED3F2F">
        <w:rPr>
          <w:rFonts w:ascii="Calibri" w:hAnsi="Calibri" w:cs="Calibri"/>
          <w:sz w:val="20"/>
          <w:szCs w:val="20"/>
        </w:rPr>
        <w:t xml:space="preserve">ten av till strax över 1 procent för att sedan stegvis plana ut till 2021. Även lokalbyggandet har återhämtat sig men </w:t>
      </w:r>
      <w:r w:rsidRPr="00ED3F2F">
        <w:rPr>
          <w:rFonts w:ascii="Calibri" w:hAnsi="Calibri" w:cs="Calibri"/>
          <w:sz w:val="20"/>
          <w:szCs w:val="20"/>
        </w:rPr>
        <w:t>tillväxten kom några år senare och den har</w:t>
      </w:r>
      <w:r w:rsidR="000A1119" w:rsidRPr="00ED3F2F">
        <w:rPr>
          <w:rFonts w:ascii="Calibri" w:hAnsi="Calibri" w:cs="Calibri"/>
          <w:sz w:val="20"/>
          <w:szCs w:val="20"/>
        </w:rPr>
        <w:t xml:space="preserve"> varit svag </w:t>
      </w:r>
      <w:r w:rsidRPr="00ED3F2F">
        <w:rPr>
          <w:rFonts w:ascii="Calibri" w:hAnsi="Calibri" w:cs="Calibri"/>
          <w:sz w:val="20"/>
          <w:szCs w:val="20"/>
        </w:rPr>
        <w:t xml:space="preserve">som en effekt av att många skuldsatta länder tvingats dra ned på offentliga investeringar. </w:t>
      </w:r>
    </w:p>
    <w:p w:rsidR="004F46F1" w:rsidRPr="00ED3F2F" w:rsidRDefault="00A85369" w:rsidP="00757A7F">
      <w:pPr>
        <w:rPr>
          <w:rFonts w:ascii="Calibri" w:hAnsi="Calibri" w:cs="Calibri"/>
          <w:sz w:val="20"/>
          <w:szCs w:val="20"/>
        </w:rPr>
      </w:pPr>
      <w:r w:rsidRPr="00ED3F2F">
        <w:rPr>
          <w:rFonts w:ascii="Calibri" w:hAnsi="Calibri" w:cs="Calibri"/>
          <w:sz w:val="20"/>
          <w:szCs w:val="20"/>
        </w:rPr>
        <w:t>En avmattande europeisk konjunktur bidrar även till att investeringstillväxten i nya lokaler mattas av</w:t>
      </w:r>
      <w:r w:rsidR="004F46F1" w:rsidRPr="00ED3F2F">
        <w:rPr>
          <w:rFonts w:ascii="Calibri" w:hAnsi="Calibri" w:cs="Calibri"/>
          <w:sz w:val="20"/>
          <w:szCs w:val="20"/>
        </w:rPr>
        <w:t xml:space="preserve">, från en </w:t>
      </w:r>
      <w:r w:rsidRPr="00ED3F2F">
        <w:rPr>
          <w:rFonts w:ascii="Calibri" w:hAnsi="Calibri" w:cs="Calibri"/>
          <w:sz w:val="20"/>
          <w:szCs w:val="20"/>
        </w:rPr>
        <w:t>uppgång</w:t>
      </w:r>
      <w:r w:rsidR="004F46F1" w:rsidRPr="00ED3F2F">
        <w:rPr>
          <w:rFonts w:ascii="Calibri" w:hAnsi="Calibri" w:cs="Calibri"/>
          <w:sz w:val="20"/>
          <w:szCs w:val="20"/>
        </w:rPr>
        <w:t xml:space="preserve"> på närmare 5 procent under 2017 till </w:t>
      </w:r>
      <w:r w:rsidRPr="00ED3F2F">
        <w:rPr>
          <w:rFonts w:ascii="Calibri" w:hAnsi="Calibri" w:cs="Calibri"/>
          <w:sz w:val="20"/>
          <w:szCs w:val="20"/>
        </w:rPr>
        <w:t xml:space="preserve">i genomsnitt 1,5 procent per år under prognosperioden. </w:t>
      </w:r>
      <w:r w:rsidR="00EB6BD7" w:rsidRPr="00ED3F2F">
        <w:rPr>
          <w:rFonts w:ascii="Calibri" w:hAnsi="Calibri" w:cs="Calibri"/>
          <w:sz w:val="20"/>
          <w:szCs w:val="20"/>
        </w:rPr>
        <w:t>Vi kan dessutom se att m</w:t>
      </w:r>
      <w:r w:rsidR="004F46F1" w:rsidRPr="00ED3F2F">
        <w:rPr>
          <w:rFonts w:ascii="Calibri" w:hAnsi="Calibri" w:cs="Calibri"/>
          <w:sz w:val="20"/>
          <w:szCs w:val="20"/>
        </w:rPr>
        <w:t>arknaden skiftar karaktär</w:t>
      </w:r>
      <w:r w:rsidR="00EB6BD7" w:rsidRPr="00ED3F2F">
        <w:rPr>
          <w:rFonts w:ascii="Calibri" w:hAnsi="Calibri" w:cs="Calibri"/>
          <w:sz w:val="20"/>
          <w:szCs w:val="20"/>
        </w:rPr>
        <w:t>,</w:t>
      </w:r>
      <w:r w:rsidRPr="00ED3F2F">
        <w:rPr>
          <w:rFonts w:ascii="Calibri" w:hAnsi="Calibri" w:cs="Calibri"/>
          <w:sz w:val="20"/>
          <w:szCs w:val="20"/>
        </w:rPr>
        <w:t xml:space="preserve"> från att vara </w:t>
      </w:r>
      <w:r w:rsidR="00C63EE2" w:rsidRPr="00ED3F2F">
        <w:rPr>
          <w:rFonts w:ascii="Calibri" w:hAnsi="Calibri" w:cs="Calibri"/>
          <w:sz w:val="20"/>
          <w:szCs w:val="20"/>
        </w:rPr>
        <w:t>präglad</w:t>
      </w:r>
      <w:r w:rsidRPr="00ED3F2F">
        <w:rPr>
          <w:rFonts w:ascii="Calibri" w:hAnsi="Calibri" w:cs="Calibri"/>
          <w:sz w:val="20"/>
          <w:szCs w:val="20"/>
        </w:rPr>
        <w:t xml:space="preserve"> av husbyggnation till att </w:t>
      </w:r>
      <w:r w:rsidR="00EB6BD7" w:rsidRPr="00ED3F2F">
        <w:rPr>
          <w:rFonts w:ascii="Calibri" w:hAnsi="Calibri" w:cs="Calibri"/>
          <w:sz w:val="20"/>
          <w:szCs w:val="20"/>
        </w:rPr>
        <w:t xml:space="preserve">drivas allt mer av anläggningssektorn och det är främst järnvägsinvesteringar som väntas öka de kommande åren. </w:t>
      </w:r>
    </w:p>
    <w:p w:rsidR="007838FD" w:rsidRPr="00ED3F2F" w:rsidRDefault="00EB6BD7" w:rsidP="00757A7F">
      <w:pPr>
        <w:rPr>
          <w:rFonts w:ascii="Calibri" w:hAnsi="Calibri" w:cs="Calibri"/>
          <w:sz w:val="20"/>
          <w:szCs w:val="20"/>
        </w:rPr>
      </w:pPr>
      <w:r w:rsidRPr="00ED3F2F">
        <w:rPr>
          <w:rFonts w:ascii="Calibri" w:hAnsi="Calibri" w:cs="Calibri"/>
          <w:sz w:val="20"/>
          <w:szCs w:val="20"/>
        </w:rPr>
        <w:t xml:space="preserve">Det finns stora regionala skillnader som baserar sig på utgångsläget och förutsättningarna i respektive land. Anläggningsinvesteringarna ökar främst i </w:t>
      </w:r>
      <w:proofErr w:type="spellStart"/>
      <w:r w:rsidRPr="00ED3F2F">
        <w:rPr>
          <w:rFonts w:ascii="Calibri" w:hAnsi="Calibri" w:cs="Calibri"/>
          <w:sz w:val="20"/>
          <w:szCs w:val="20"/>
        </w:rPr>
        <w:t>Euroconstructs</w:t>
      </w:r>
      <w:proofErr w:type="spellEnd"/>
      <w:r w:rsidRPr="00ED3F2F">
        <w:rPr>
          <w:rFonts w:ascii="Calibri" w:hAnsi="Calibri" w:cs="Calibri"/>
          <w:sz w:val="20"/>
          <w:szCs w:val="20"/>
        </w:rPr>
        <w:t xml:space="preserve"> östeuropeiska medlemsländer och</w:t>
      </w:r>
      <w:r w:rsidR="00C63EE2" w:rsidRPr="00ED3F2F">
        <w:rPr>
          <w:rFonts w:ascii="Calibri" w:hAnsi="Calibri" w:cs="Calibri"/>
          <w:sz w:val="20"/>
          <w:szCs w:val="20"/>
        </w:rPr>
        <w:t xml:space="preserve"> i</w:t>
      </w:r>
      <w:r w:rsidRPr="00ED3F2F">
        <w:rPr>
          <w:rFonts w:ascii="Calibri" w:hAnsi="Calibri" w:cs="Calibri"/>
          <w:sz w:val="20"/>
          <w:szCs w:val="20"/>
        </w:rPr>
        <w:t xml:space="preserve"> Norge medan Tyskland och Finland</w:t>
      </w:r>
      <w:r w:rsidR="00C63EE2" w:rsidRPr="00ED3F2F">
        <w:rPr>
          <w:rFonts w:ascii="Calibri" w:hAnsi="Calibri" w:cs="Calibri"/>
          <w:sz w:val="20"/>
          <w:szCs w:val="20"/>
        </w:rPr>
        <w:t xml:space="preserve"> är ensamma med att se en nedgång de kommande åren</w:t>
      </w:r>
      <w:r w:rsidRPr="00ED3F2F">
        <w:rPr>
          <w:rFonts w:ascii="Calibri" w:hAnsi="Calibri" w:cs="Calibri"/>
          <w:sz w:val="20"/>
          <w:szCs w:val="20"/>
        </w:rPr>
        <w:t xml:space="preserve">. </w:t>
      </w:r>
      <w:r w:rsidR="004B0313" w:rsidRPr="00ED3F2F">
        <w:rPr>
          <w:rFonts w:ascii="Calibri" w:hAnsi="Calibri" w:cs="Calibri"/>
          <w:sz w:val="20"/>
          <w:szCs w:val="20"/>
        </w:rPr>
        <w:t xml:space="preserve">Östländerna har även en stark utveckling i lokalbyggandet tillsammans med Nederländerna, Frankrike och Belgien. Bostadsbyggandet ökar mest på Irland under prognosperioden medan Sverige </w:t>
      </w:r>
      <w:r w:rsidR="00C63EE2" w:rsidRPr="00ED3F2F">
        <w:rPr>
          <w:rFonts w:ascii="Calibri" w:hAnsi="Calibri" w:cs="Calibri"/>
          <w:sz w:val="20"/>
          <w:szCs w:val="20"/>
        </w:rPr>
        <w:t>sticker ut</w:t>
      </w:r>
      <w:r w:rsidR="004B0313" w:rsidRPr="00ED3F2F">
        <w:rPr>
          <w:rFonts w:ascii="Calibri" w:hAnsi="Calibri" w:cs="Calibri"/>
          <w:sz w:val="20"/>
          <w:szCs w:val="20"/>
        </w:rPr>
        <w:t xml:space="preserve"> med en nedgång i </w:t>
      </w:r>
      <w:r w:rsidR="00F23BD0">
        <w:rPr>
          <w:rFonts w:ascii="Calibri" w:hAnsi="Calibri" w:cs="Calibri"/>
          <w:sz w:val="20"/>
          <w:szCs w:val="20"/>
        </w:rPr>
        <w:t>bostads</w:t>
      </w:r>
      <w:r w:rsidR="004B0313" w:rsidRPr="00ED3F2F">
        <w:rPr>
          <w:rFonts w:ascii="Calibri" w:hAnsi="Calibri" w:cs="Calibri"/>
          <w:sz w:val="20"/>
          <w:szCs w:val="20"/>
        </w:rPr>
        <w:t>investeringarna på</w:t>
      </w:r>
      <w:r w:rsidR="00C63EE2" w:rsidRPr="00ED3F2F">
        <w:rPr>
          <w:rFonts w:ascii="Calibri" w:hAnsi="Calibri" w:cs="Calibri"/>
          <w:sz w:val="20"/>
          <w:szCs w:val="20"/>
        </w:rPr>
        <w:t xml:space="preserve"> hela</w:t>
      </w:r>
      <w:r w:rsidR="004B0313" w:rsidRPr="00ED3F2F">
        <w:rPr>
          <w:rFonts w:ascii="Calibri" w:hAnsi="Calibri" w:cs="Calibri"/>
          <w:sz w:val="20"/>
          <w:szCs w:val="20"/>
        </w:rPr>
        <w:t xml:space="preserve"> 35 procent</w:t>
      </w:r>
      <w:r w:rsidR="003E28F6">
        <w:rPr>
          <w:rFonts w:ascii="Calibri" w:hAnsi="Calibri" w:cs="Calibri"/>
          <w:sz w:val="20"/>
          <w:szCs w:val="20"/>
        </w:rPr>
        <w:t xml:space="preserve"> fram</w:t>
      </w:r>
      <w:r w:rsidR="004B0313" w:rsidRPr="00ED3F2F">
        <w:rPr>
          <w:rFonts w:ascii="Calibri" w:hAnsi="Calibri" w:cs="Calibri"/>
          <w:sz w:val="20"/>
          <w:szCs w:val="20"/>
        </w:rPr>
        <w:t xml:space="preserve"> till 2021. </w:t>
      </w:r>
    </w:p>
    <w:p w:rsidR="00EB6BD7" w:rsidRPr="00ED3F2F" w:rsidRDefault="005C7947" w:rsidP="00757A7F">
      <w:pPr>
        <w:rPr>
          <w:rFonts w:ascii="Calibri" w:hAnsi="Calibri" w:cs="Calibri"/>
          <w:sz w:val="20"/>
          <w:szCs w:val="20"/>
        </w:rPr>
      </w:pPr>
      <w:r w:rsidRPr="00ED3F2F">
        <w:rPr>
          <w:rFonts w:ascii="Calibri" w:hAnsi="Calibri" w:cs="Calibri"/>
          <w:sz w:val="20"/>
          <w:szCs w:val="20"/>
        </w:rPr>
        <w:t>ROT-sektorn håller sig relativt stabil med en genomsnittlig tillväxt på 1,3 procent</w:t>
      </w:r>
      <w:r w:rsidR="00F23BD0">
        <w:rPr>
          <w:rFonts w:ascii="Calibri" w:hAnsi="Calibri" w:cs="Calibri"/>
          <w:sz w:val="20"/>
          <w:szCs w:val="20"/>
        </w:rPr>
        <w:t xml:space="preserve"> under prognosperioden</w:t>
      </w:r>
      <w:r w:rsidRPr="00ED3F2F">
        <w:rPr>
          <w:rFonts w:ascii="Calibri" w:hAnsi="Calibri" w:cs="Calibri"/>
          <w:sz w:val="20"/>
          <w:szCs w:val="20"/>
        </w:rPr>
        <w:t xml:space="preserve">, vilket är en avmattning från de senaste två årens uppgång på </w:t>
      </w:r>
      <w:r w:rsidR="00ED3F2F" w:rsidRPr="00ED3F2F">
        <w:rPr>
          <w:rFonts w:ascii="Calibri" w:hAnsi="Calibri" w:cs="Calibri"/>
          <w:sz w:val="20"/>
          <w:szCs w:val="20"/>
        </w:rPr>
        <w:t>drygt</w:t>
      </w:r>
      <w:r w:rsidRPr="00ED3F2F">
        <w:rPr>
          <w:rFonts w:ascii="Calibri" w:hAnsi="Calibri" w:cs="Calibri"/>
          <w:sz w:val="20"/>
          <w:szCs w:val="20"/>
        </w:rPr>
        <w:t xml:space="preserve"> 2 procent.</w:t>
      </w:r>
    </w:p>
    <w:p w:rsidR="00D837B9" w:rsidRPr="00ED3F2F" w:rsidRDefault="00ED3F2F" w:rsidP="00D837B9">
      <w:pPr>
        <w:pStyle w:val="Liststycke"/>
        <w:numPr>
          <w:ilvl w:val="0"/>
          <w:numId w:val="1"/>
        </w:numPr>
        <w:rPr>
          <w:rFonts w:ascii="Calibri" w:hAnsi="Calibri" w:cs="Calibri"/>
          <w:sz w:val="20"/>
          <w:szCs w:val="20"/>
        </w:rPr>
      </w:pPr>
      <w:r w:rsidRPr="00ED3F2F">
        <w:rPr>
          <w:rFonts w:ascii="Calibri" w:hAnsi="Calibri" w:cs="Calibri"/>
          <w:sz w:val="20"/>
          <w:szCs w:val="20"/>
        </w:rPr>
        <w:t>Den svaga utvecklingen för ROT investeringar är oroväckande. Tillväxten är knappt vad som krävs för att bibehålla byggnadernas standard och det är långt ifrån tillräckligt för att nå dom mål som finns för fastighetssektorns klimatpåverkan</w:t>
      </w:r>
      <w:r w:rsidR="00D837B9" w:rsidRPr="00ED3F2F">
        <w:rPr>
          <w:rFonts w:ascii="Calibri" w:hAnsi="Calibri" w:cs="Calibri"/>
          <w:sz w:val="20"/>
          <w:szCs w:val="20"/>
        </w:rPr>
        <w:t xml:space="preserve">, </w:t>
      </w:r>
      <w:r w:rsidR="003F28AC">
        <w:rPr>
          <w:rFonts w:ascii="Calibri" w:hAnsi="Calibri" w:cs="Calibri"/>
          <w:sz w:val="20"/>
          <w:szCs w:val="20"/>
        </w:rPr>
        <w:t>menar</w:t>
      </w:r>
      <w:r w:rsidR="00D837B9" w:rsidRPr="00ED3F2F">
        <w:rPr>
          <w:rFonts w:ascii="Calibri" w:hAnsi="Calibri" w:cs="Calibri"/>
          <w:sz w:val="20"/>
          <w:szCs w:val="20"/>
        </w:rPr>
        <w:t xml:space="preserve"> Bengt Henricson. </w:t>
      </w:r>
    </w:p>
    <w:p w:rsidR="00A736AA" w:rsidRPr="00ED3F2F" w:rsidRDefault="00A736AA" w:rsidP="00EA13E1">
      <w:pPr>
        <w:rPr>
          <w:b/>
          <w:sz w:val="20"/>
          <w:szCs w:val="20"/>
        </w:rPr>
      </w:pPr>
      <w:r w:rsidRPr="00ED3F2F">
        <w:rPr>
          <w:b/>
          <w:sz w:val="20"/>
          <w:szCs w:val="20"/>
        </w:rPr>
        <w:t xml:space="preserve">Om ni önskar mer information eller vill ta del av rapporten är ni välkommen att kontakta Bengt Henricson, Prognoscentret AB: 08-440 93 66, Mail: </w:t>
      </w:r>
      <w:hyperlink r:id="rId9" w:history="1">
        <w:r w:rsidRPr="00ED3F2F">
          <w:rPr>
            <w:b/>
            <w:sz w:val="20"/>
            <w:szCs w:val="20"/>
          </w:rPr>
          <w:t>bengt.henricson@prognoscentret.se</w:t>
        </w:r>
      </w:hyperlink>
    </w:p>
    <w:p w:rsidR="00A736AA" w:rsidRPr="00A736AA" w:rsidRDefault="00A736AA" w:rsidP="00A736AA">
      <w:pPr>
        <w:pStyle w:val="Default"/>
        <w:shd w:val="clear" w:color="auto" w:fill="D9D9D9" w:themeFill="background1" w:themeFillShade="D9"/>
        <w:jc w:val="both"/>
        <w:rPr>
          <w:rFonts w:asciiTheme="minorHAnsi" w:hAnsiTheme="minorHAnsi" w:cs="Arial"/>
          <w:sz w:val="20"/>
          <w:szCs w:val="20"/>
        </w:rPr>
      </w:pPr>
      <w:r w:rsidRPr="00AE7631">
        <w:rPr>
          <w:rFonts w:asciiTheme="minorHAnsi" w:eastAsiaTheme="minorEastAsia" w:hAnsiTheme="minorHAnsi" w:cstheme="minorBidi"/>
          <w:b/>
          <w:color w:val="auto"/>
          <w:sz w:val="20"/>
          <w:szCs w:val="20"/>
        </w:rPr>
        <w:t>Prognoscentret AB</w:t>
      </w:r>
      <w:r w:rsidRPr="00AE7631">
        <w:rPr>
          <w:rFonts w:asciiTheme="minorHAnsi" w:eastAsiaTheme="minorEastAsia" w:hAnsiTheme="minorHAnsi" w:cstheme="minorBidi"/>
          <w:color w:val="auto"/>
          <w:sz w:val="20"/>
          <w:szCs w:val="20"/>
        </w:rPr>
        <w:t xml:space="preserve"> har sedan starten 1978 utvecklats till att idag vara Nordens ledande leverantör av högkvalitativa marknadsanalyser inom bygg, bostads- och fastighetsmarknaderna. Med utgångspunkt i välutvecklade analysverktyg, ett stort nätverk och kompetenta medarbetare erbjuder vi många typer av analyser som ger stöd i taktiska, strategiska och operationella val. Prognoscentret representerar både Norge och Sverige i </w:t>
      </w:r>
      <w:proofErr w:type="spellStart"/>
      <w:r w:rsidRPr="00AE7631">
        <w:rPr>
          <w:rFonts w:asciiTheme="minorHAnsi" w:eastAsiaTheme="minorEastAsia" w:hAnsiTheme="minorHAnsi" w:cstheme="minorBidi"/>
          <w:color w:val="auto"/>
          <w:sz w:val="20"/>
          <w:szCs w:val="20"/>
        </w:rPr>
        <w:t>Euroconstruct</w:t>
      </w:r>
      <w:proofErr w:type="spellEnd"/>
      <w:r w:rsidRPr="00AE7631">
        <w:rPr>
          <w:rFonts w:asciiTheme="minorHAnsi" w:eastAsiaTheme="minorEastAsia" w:hAnsiTheme="minorHAnsi" w:cstheme="minorBidi"/>
          <w:color w:val="auto"/>
          <w:sz w:val="20"/>
          <w:szCs w:val="20"/>
        </w:rPr>
        <w:t>, ett europeiskt nätverk bestående av de 19 ledande analysinstitutionerna i EU-området,</w:t>
      </w:r>
      <w:r>
        <w:rPr>
          <w:rFonts w:asciiTheme="minorHAnsi" w:hAnsiTheme="minorHAnsi" w:cs="Arial"/>
          <w:sz w:val="20"/>
          <w:szCs w:val="20"/>
        </w:rPr>
        <w:t xml:space="preserve"> (</w:t>
      </w:r>
      <w:hyperlink r:id="rId10" w:history="1">
        <w:r w:rsidRPr="008440A3">
          <w:rPr>
            <w:rStyle w:val="Hyperlnk"/>
            <w:rFonts w:asciiTheme="minorHAnsi" w:hAnsiTheme="minorHAnsi" w:cs="Arial"/>
            <w:sz w:val="20"/>
            <w:szCs w:val="20"/>
          </w:rPr>
          <w:t>www.euroconstruct.org</w:t>
        </w:r>
      </w:hyperlink>
      <w:r>
        <w:rPr>
          <w:rFonts w:asciiTheme="minorHAnsi" w:hAnsiTheme="minorHAnsi" w:cs="Arial"/>
          <w:sz w:val="20"/>
          <w:szCs w:val="20"/>
        </w:rPr>
        <w:t>).</w:t>
      </w:r>
    </w:p>
    <w:sectPr w:rsidR="00A736AA" w:rsidRPr="00A736A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8E2" w:rsidRDefault="000738E2" w:rsidP="009634C8">
      <w:pPr>
        <w:spacing w:after="0" w:line="240" w:lineRule="auto"/>
      </w:pPr>
      <w:r>
        <w:separator/>
      </w:r>
    </w:p>
  </w:endnote>
  <w:endnote w:type="continuationSeparator" w:id="0">
    <w:p w:rsidR="000738E2" w:rsidRDefault="000738E2" w:rsidP="0096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8E2" w:rsidRDefault="000738E2" w:rsidP="009634C8">
      <w:pPr>
        <w:spacing w:after="0" w:line="240" w:lineRule="auto"/>
      </w:pPr>
      <w:r>
        <w:separator/>
      </w:r>
    </w:p>
  </w:footnote>
  <w:footnote w:type="continuationSeparator" w:id="0">
    <w:p w:rsidR="000738E2" w:rsidRDefault="000738E2" w:rsidP="0096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C8" w:rsidRDefault="009634C8">
    <w:pPr>
      <w:pStyle w:val="Sidhuvud"/>
    </w:pPr>
    <w:r>
      <w:rPr>
        <w:noProof/>
      </w:rPr>
      <w:drawing>
        <wp:anchor distT="0" distB="0" distL="114300" distR="114300" simplePos="0" relativeHeight="251659264" behindDoc="0" locked="0" layoutInCell="1" allowOverlap="1" wp14:anchorId="0AC716E8" wp14:editId="12C66FB1">
          <wp:simplePos x="0" y="0"/>
          <wp:positionH relativeFrom="margin">
            <wp:posOffset>-257175</wp:posOffset>
          </wp:positionH>
          <wp:positionV relativeFrom="paragraph">
            <wp:posOffset>-257810</wp:posOffset>
          </wp:positionV>
          <wp:extent cx="2529840" cy="80454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804545"/>
                  </a:xfrm>
                  <a:prstGeom prst="rect">
                    <a:avLst/>
                  </a:prstGeom>
                  <a:noFill/>
                </pic:spPr>
              </pic:pic>
            </a:graphicData>
          </a:graphic>
          <wp14:sizeRelH relativeFrom="page">
            <wp14:pctWidth>0</wp14:pctWidth>
          </wp14:sizeRelH>
          <wp14:sizeRelV relativeFrom="page">
            <wp14:pctHeight>0</wp14:pctHeight>
          </wp14:sizeRelV>
        </wp:anchor>
      </w:drawing>
    </w:r>
  </w:p>
  <w:p w:rsidR="009634C8" w:rsidRDefault="009634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2D46"/>
    <w:multiLevelType w:val="hybridMultilevel"/>
    <w:tmpl w:val="AF40D97A"/>
    <w:lvl w:ilvl="0" w:tplc="5E1CB9D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917CA3"/>
    <w:multiLevelType w:val="hybridMultilevel"/>
    <w:tmpl w:val="69101AB6"/>
    <w:lvl w:ilvl="0" w:tplc="C2F480D8">
      <w:numFmt w:val="bullet"/>
      <w:lvlText w:val="-"/>
      <w:lvlJc w:val="left"/>
      <w:pPr>
        <w:ind w:left="405" w:hanging="360"/>
      </w:pPr>
      <w:rPr>
        <w:rFonts w:ascii="Calibri" w:eastAsiaTheme="minorEastAsia"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9A"/>
    <w:rsid w:val="00001654"/>
    <w:rsid w:val="00020C6A"/>
    <w:rsid w:val="00020E5F"/>
    <w:rsid w:val="0004546B"/>
    <w:rsid w:val="00067FF8"/>
    <w:rsid w:val="000738E2"/>
    <w:rsid w:val="00083AF1"/>
    <w:rsid w:val="00087DE0"/>
    <w:rsid w:val="000A1119"/>
    <w:rsid w:val="000A4E01"/>
    <w:rsid w:val="000C46C1"/>
    <w:rsid w:val="001153ED"/>
    <w:rsid w:val="00145E91"/>
    <w:rsid w:val="0016758F"/>
    <w:rsid w:val="001D24C0"/>
    <w:rsid w:val="001D46D3"/>
    <w:rsid w:val="00223210"/>
    <w:rsid w:val="00223C25"/>
    <w:rsid w:val="00223CDC"/>
    <w:rsid w:val="00246EF9"/>
    <w:rsid w:val="00260480"/>
    <w:rsid w:val="002760A6"/>
    <w:rsid w:val="002C4D37"/>
    <w:rsid w:val="002C6C1A"/>
    <w:rsid w:val="002F01FA"/>
    <w:rsid w:val="00300C87"/>
    <w:rsid w:val="00301C5D"/>
    <w:rsid w:val="00322D76"/>
    <w:rsid w:val="00322EDD"/>
    <w:rsid w:val="0033735C"/>
    <w:rsid w:val="003425C4"/>
    <w:rsid w:val="0035124C"/>
    <w:rsid w:val="003B5B57"/>
    <w:rsid w:val="003B6835"/>
    <w:rsid w:val="003B70DB"/>
    <w:rsid w:val="003D6E0A"/>
    <w:rsid w:val="003E28F6"/>
    <w:rsid w:val="003F0FF9"/>
    <w:rsid w:val="003F28AC"/>
    <w:rsid w:val="00400397"/>
    <w:rsid w:val="004107C7"/>
    <w:rsid w:val="00453020"/>
    <w:rsid w:val="00474B79"/>
    <w:rsid w:val="00475B93"/>
    <w:rsid w:val="00475DE6"/>
    <w:rsid w:val="00490424"/>
    <w:rsid w:val="004928AC"/>
    <w:rsid w:val="0049793C"/>
    <w:rsid w:val="004B0313"/>
    <w:rsid w:val="004D1FAE"/>
    <w:rsid w:val="004E63D8"/>
    <w:rsid w:val="004F46F1"/>
    <w:rsid w:val="0051764F"/>
    <w:rsid w:val="0052128D"/>
    <w:rsid w:val="00554FF7"/>
    <w:rsid w:val="00580796"/>
    <w:rsid w:val="00592A84"/>
    <w:rsid w:val="005C7947"/>
    <w:rsid w:val="00601174"/>
    <w:rsid w:val="00612739"/>
    <w:rsid w:val="006155F7"/>
    <w:rsid w:val="00627120"/>
    <w:rsid w:val="00646105"/>
    <w:rsid w:val="0067174C"/>
    <w:rsid w:val="00673CEB"/>
    <w:rsid w:val="006804D8"/>
    <w:rsid w:val="006B2C6F"/>
    <w:rsid w:val="006B5795"/>
    <w:rsid w:val="006C5645"/>
    <w:rsid w:val="006E56F6"/>
    <w:rsid w:val="00725591"/>
    <w:rsid w:val="0074345A"/>
    <w:rsid w:val="00757A7F"/>
    <w:rsid w:val="007838FD"/>
    <w:rsid w:val="007A31FD"/>
    <w:rsid w:val="007B6C6C"/>
    <w:rsid w:val="007C289C"/>
    <w:rsid w:val="007F0757"/>
    <w:rsid w:val="007F0C35"/>
    <w:rsid w:val="007F3AF8"/>
    <w:rsid w:val="007F73EE"/>
    <w:rsid w:val="00835D3B"/>
    <w:rsid w:val="0086078D"/>
    <w:rsid w:val="008669BD"/>
    <w:rsid w:val="008834C5"/>
    <w:rsid w:val="008C5A87"/>
    <w:rsid w:val="0092574D"/>
    <w:rsid w:val="00932158"/>
    <w:rsid w:val="009634C8"/>
    <w:rsid w:val="009843E1"/>
    <w:rsid w:val="009E34DA"/>
    <w:rsid w:val="00A00306"/>
    <w:rsid w:val="00A0519A"/>
    <w:rsid w:val="00A05404"/>
    <w:rsid w:val="00A4793A"/>
    <w:rsid w:val="00A53215"/>
    <w:rsid w:val="00A57017"/>
    <w:rsid w:val="00A736AA"/>
    <w:rsid w:val="00A85369"/>
    <w:rsid w:val="00A878A0"/>
    <w:rsid w:val="00A9704C"/>
    <w:rsid w:val="00AC47B3"/>
    <w:rsid w:val="00AE1B52"/>
    <w:rsid w:val="00AE1F4A"/>
    <w:rsid w:val="00AE5C6A"/>
    <w:rsid w:val="00AF4DB8"/>
    <w:rsid w:val="00B12C60"/>
    <w:rsid w:val="00B50028"/>
    <w:rsid w:val="00B75EAC"/>
    <w:rsid w:val="00B82FD8"/>
    <w:rsid w:val="00B92833"/>
    <w:rsid w:val="00C17C5D"/>
    <w:rsid w:val="00C2175C"/>
    <w:rsid w:val="00C25AC0"/>
    <w:rsid w:val="00C3042D"/>
    <w:rsid w:val="00C5629D"/>
    <w:rsid w:val="00C63EE2"/>
    <w:rsid w:val="00C86BD2"/>
    <w:rsid w:val="00CE6C7D"/>
    <w:rsid w:val="00D26CB0"/>
    <w:rsid w:val="00D44966"/>
    <w:rsid w:val="00D5065B"/>
    <w:rsid w:val="00D7103E"/>
    <w:rsid w:val="00D837B9"/>
    <w:rsid w:val="00DA012D"/>
    <w:rsid w:val="00DB43A8"/>
    <w:rsid w:val="00DD03E0"/>
    <w:rsid w:val="00DD13CA"/>
    <w:rsid w:val="00DE69E3"/>
    <w:rsid w:val="00DF10E4"/>
    <w:rsid w:val="00DF2F23"/>
    <w:rsid w:val="00DF57BC"/>
    <w:rsid w:val="00E04C1B"/>
    <w:rsid w:val="00E22A13"/>
    <w:rsid w:val="00E25519"/>
    <w:rsid w:val="00E543F0"/>
    <w:rsid w:val="00E56172"/>
    <w:rsid w:val="00E63077"/>
    <w:rsid w:val="00E73C5A"/>
    <w:rsid w:val="00E74F9C"/>
    <w:rsid w:val="00EA13E1"/>
    <w:rsid w:val="00EA6E2E"/>
    <w:rsid w:val="00EB6BD7"/>
    <w:rsid w:val="00ED14C8"/>
    <w:rsid w:val="00ED3F2F"/>
    <w:rsid w:val="00EE2152"/>
    <w:rsid w:val="00EE272E"/>
    <w:rsid w:val="00F16ED9"/>
    <w:rsid w:val="00F23BD0"/>
    <w:rsid w:val="00F6712E"/>
    <w:rsid w:val="00F76B70"/>
    <w:rsid w:val="00F803D7"/>
    <w:rsid w:val="00F82A9A"/>
    <w:rsid w:val="00FB47A2"/>
    <w:rsid w:val="00FC480B"/>
    <w:rsid w:val="00FD027F"/>
    <w:rsid w:val="00FE2C69"/>
    <w:rsid w:val="00FE76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3046"/>
  <w15:docId w15:val="{73CB851F-64F7-454E-81CE-505A5F0B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A9A"/>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
    <w:basedOn w:val="Normal"/>
    <w:link w:val="BrdtextChar"/>
    <w:rsid w:val="00F82A9A"/>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F82A9A"/>
    <w:rPr>
      <w:rFonts w:ascii="Arial" w:eastAsia="Times New Roman" w:hAnsi="Arial" w:cs="Arial"/>
      <w:b/>
      <w:sz w:val="28"/>
      <w:szCs w:val="28"/>
      <w:lang w:val="en-GB" w:eastAsia="fr-FR"/>
    </w:rPr>
  </w:style>
  <w:style w:type="paragraph" w:styleId="Ballongtext">
    <w:name w:val="Balloon Text"/>
    <w:basedOn w:val="Normal"/>
    <w:link w:val="BallongtextChar"/>
    <w:uiPriority w:val="99"/>
    <w:semiHidden/>
    <w:unhideWhenUsed/>
    <w:rsid w:val="003B70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70DB"/>
    <w:rPr>
      <w:rFonts w:ascii="Segoe UI" w:eastAsiaTheme="minorEastAsia" w:hAnsi="Segoe UI" w:cs="Segoe UI"/>
      <w:sz w:val="18"/>
      <w:szCs w:val="18"/>
      <w:lang w:eastAsia="sv-SE"/>
    </w:rPr>
  </w:style>
  <w:style w:type="paragraph" w:styleId="Liststycke">
    <w:name w:val="List Paragraph"/>
    <w:basedOn w:val="Normal"/>
    <w:uiPriority w:val="34"/>
    <w:qFormat/>
    <w:rsid w:val="00083AF1"/>
    <w:pPr>
      <w:ind w:left="720"/>
      <w:contextualSpacing/>
    </w:pPr>
  </w:style>
  <w:style w:type="paragraph" w:styleId="Sidhuvud">
    <w:name w:val="header"/>
    <w:basedOn w:val="Normal"/>
    <w:link w:val="SidhuvudChar"/>
    <w:uiPriority w:val="99"/>
    <w:unhideWhenUsed/>
    <w:rsid w:val="009634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34C8"/>
    <w:rPr>
      <w:rFonts w:eastAsiaTheme="minorEastAsia"/>
      <w:lang w:eastAsia="sv-SE"/>
    </w:rPr>
  </w:style>
  <w:style w:type="paragraph" w:styleId="Sidfot">
    <w:name w:val="footer"/>
    <w:basedOn w:val="Normal"/>
    <w:link w:val="SidfotChar"/>
    <w:uiPriority w:val="99"/>
    <w:unhideWhenUsed/>
    <w:rsid w:val="009634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34C8"/>
    <w:rPr>
      <w:rFonts w:eastAsiaTheme="minorEastAsia"/>
      <w:lang w:eastAsia="sv-SE"/>
    </w:rPr>
  </w:style>
  <w:style w:type="paragraph" w:customStyle="1" w:styleId="Default">
    <w:name w:val="Default"/>
    <w:rsid w:val="00A736AA"/>
    <w:pPr>
      <w:autoSpaceDE w:val="0"/>
      <w:autoSpaceDN w:val="0"/>
      <w:adjustRightInd w:val="0"/>
      <w:spacing w:after="0" w:line="240" w:lineRule="auto"/>
    </w:pPr>
    <w:rPr>
      <w:rFonts w:ascii="Bradley Hand ITC" w:eastAsia="Times New Roman" w:hAnsi="Bradley Hand ITC" w:cs="Bradley Hand ITC"/>
      <w:color w:val="000000"/>
      <w:sz w:val="24"/>
      <w:szCs w:val="24"/>
      <w:lang w:eastAsia="sv-SE"/>
    </w:rPr>
  </w:style>
  <w:style w:type="character" w:styleId="Hyperlnk">
    <w:name w:val="Hyperlink"/>
    <w:basedOn w:val="Standardstycketeckensnitt"/>
    <w:uiPriority w:val="99"/>
    <w:unhideWhenUsed/>
    <w:rsid w:val="00A73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construct.org" TargetMode="External"/><Relationship Id="rId4" Type="http://schemas.openxmlformats.org/officeDocument/2006/relationships/settings" Target="settings.xml"/><Relationship Id="rId9" Type="http://schemas.openxmlformats.org/officeDocument/2006/relationships/hyperlink" Target="mailto:bengt.henricson@prognoscentr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6304-16F8-4F7D-8770-45B5D66A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573</Words>
  <Characters>3038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Jarmula</dc:creator>
  <cp:keywords/>
  <dc:description/>
  <cp:lastModifiedBy>Bengt Henricson</cp:lastModifiedBy>
  <cp:revision>59</cp:revision>
  <cp:lastPrinted>2018-09-06T12:30:00Z</cp:lastPrinted>
  <dcterms:created xsi:type="dcterms:W3CDTF">2018-03-21T14:23:00Z</dcterms:created>
  <dcterms:modified xsi:type="dcterms:W3CDTF">2018-11-20T11:57:00Z</dcterms:modified>
</cp:coreProperties>
</file>