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8D" w:rsidRDefault="001C428D" w:rsidP="00116013">
      <w:pPr>
        <w:pStyle w:val="berschrift1"/>
        <w:spacing w:line="360" w:lineRule="auto"/>
        <w:ind w:right="2410"/>
        <w:rPr>
          <w:rFonts w:ascii="Sparkasse Rg" w:eastAsia="Sparkasse Rg" w:hAnsi="Sparkasse Rg" w:cs="Sparkasse Rg"/>
          <w:sz w:val="22"/>
          <w:szCs w:val="22"/>
        </w:rPr>
      </w:pPr>
      <w:r w:rsidRPr="000778E2">
        <w:rPr>
          <w:rFonts w:ascii="Sparkasse Rg" w:eastAsia="Sparkasse Rg" w:hAnsi="Sparkasse Rg" w:cs="Sparkasse Rg"/>
          <w:sz w:val="22"/>
          <w:szCs w:val="22"/>
        </w:rPr>
        <w:t xml:space="preserve">Pressemeldung </w:t>
      </w:r>
      <w:r w:rsidR="007F189C">
        <w:rPr>
          <w:rFonts w:ascii="Sparkasse Rg" w:eastAsia="Sparkasse Rg" w:hAnsi="Sparkasse Rg" w:cs="Sparkasse Rg"/>
          <w:sz w:val="22"/>
          <w:szCs w:val="22"/>
        </w:rPr>
        <w:t>11</w:t>
      </w:r>
      <w:r w:rsidR="00B45447">
        <w:rPr>
          <w:rFonts w:ascii="Sparkasse Rg" w:eastAsia="Sparkasse Rg" w:hAnsi="Sparkasse Rg" w:cs="Sparkasse Rg"/>
          <w:sz w:val="22"/>
          <w:szCs w:val="22"/>
        </w:rPr>
        <w:t>.02</w:t>
      </w:r>
      <w:r w:rsidR="00601230">
        <w:rPr>
          <w:rFonts w:ascii="Sparkasse Rg" w:eastAsia="Sparkasse Rg" w:hAnsi="Sparkasse Rg" w:cs="Sparkasse Rg"/>
          <w:sz w:val="22"/>
          <w:szCs w:val="22"/>
        </w:rPr>
        <w:t>.2020</w:t>
      </w:r>
    </w:p>
    <w:p w:rsidR="00F516F4" w:rsidRPr="00F516F4" w:rsidRDefault="00F516F4" w:rsidP="00116013">
      <w:pPr>
        <w:ind w:right="2410"/>
      </w:pPr>
    </w:p>
    <w:p w:rsidR="008D3A00" w:rsidRPr="00442E5D" w:rsidRDefault="006C7081" w:rsidP="00513DB4">
      <w:pPr>
        <w:spacing w:before="120" w:after="120" w:line="360" w:lineRule="auto"/>
        <w:rPr>
          <w:b/>
        </w:rPr>
      </w:pPr>
      <w:r>
        <w:rPr>
          <w:b/>
          <w:bCs/>
        </w:rPr>
        <w:t xml:space="preserve">Die Stadtsparkasse München </w:t>
      </w:r>
      <w:r w:rsidR="007F189C">
        <w:rPr>
          <w:b/>
          <w:bCs/>
        </w:rPr>
        <w:t>im Kam</w:t>
      </w:r>
      <w:r w:rsidR="00513DB4">
        <w:rPr>
          <w:b/>
          <w:bCs/>
        </w:rPr>
        <w:t>pf gegen die Cyber-Kriminalität</w:t>
      </w:r>
    </w:p>
    <w:p w:rsidR="007F189C" w:rsidRPr="007F189C" w:rsidRDefault="00BB2B08" w:rsidP="00513DB4">
      <w:pPr>
        <w:spacing w:after="120" w:line="320" w:lineRule="exact"/>
        <w:ind w:right="1984"/>
        <w:rPr>
          <w:color w:val="000000"/>
        </w:rPr>
      </w:pPr>
      <w:r w:rsidRPr="00BB2B08">
        <w:rPr>
          <w:b/>
          <w:color w:val="000000" w:themeColor="text1"/>
        </w:rPr>
        <w:t>München (</w:t>
      </w:r>
      <w:proofErr w:type="spellStart"/>
      <w:r w:rsidRPr="00BB2B08">
        <w:rPr>
          <w:b/>
          <w:color w:val="000000" w:themeColor="text1"/>
        </w:rPr>
        <w:t>sskm</w:t>
      </w:r>
      <w:proofErr w:type="spellEnd"/>
      <w:r w:rsidRPr="00BB2B08">
        <w:rPr>
          <w:color w:val="000000" w:themeColor="text1"/>
        </w:rPr>
        <w:t xml:space="preserve">). </w:t>
      </w:r>
      <w:r w:rsidR="007F189C">
        <w:rPr>
          <w:color w:val="000000" w:themeColor="text1"/>
        </w:rPr>
        <w:t xml:space="preserve">Welche Gefahren gibt es aus dem Cyber-Raum und wie können sich </w:t>
      </w:r>
      <w:r w:rsidR="00513DB4">
        <w:rPr>
          <w:color w:val="000000" w:themeColor="text1"/>
        </w:rPr>
        <w:t xml:space="preserve">Unternehmer </w:t>
      </w:r>
      <w:r w:rsidR="007F189C">
        <w:rPr>
          <w:color w:val="000000" w:themeColor="text1"/>
        </w:rPr>
        <w:t xml:space="preserve">dagegen schützen? Zu diesem Thema hatte die Stadtsparkasse München </w:t>
      </w:r>
      <w:r w:rsidR="00513DB4">
        <w:rPr>
          <w:color w:val="000000" w:themeColor="text1"/>
        </w:rPr>
        <w:t xml:space="preserve">Firmenkunden </w:t>
      </w:r>
      <w:r w:rsidR="007F189C">
        <w:rPr>
          <w:color w:val="000000" w:themeColor="text1"/>
        </w:rPr>
        <w:t>eingeladen. Zwei hochkarätige Referenten haben die Gäste mit Info</w:t>
      </w:r>
      <w:r w:rsidR="00513DB4">
        <w:rPr>
          <w:color w:val="000000" w:themeColor="text1"/>
        </w:rPr>
        <w:t xml:space="preserve">rmationen und Lösungen versorgt: </w:t>
      </w:r>
      <w:r w:rsidR="007F189C" w:rsidRPr="007F189C">
        <w:rPr>
          <w:color w:val="000000" w:themeColor="text1"/>
        </w:rPr>
        <w:t xml:space="preserve">Zum einen </w:t>
      </w:r>
      <w:r w:rsidR="007F189C" w:rsidRPr="007F189C">
        <w:rPr>
          <w:bCs/>
          <w:color w:val="000000"/>
        </w:rPr>
        <w:t>Andreas Forster</w:t>
      </w:r>
      <w:r w:rsidR="007F189C" w:rsidRPr="007F189C">
        <w:rPr>
          <w:color w:val="000000"/>
        </w:rPr>
        <w:t>, Leiter des Kommissariats Cybercrime des Polizeipräsidiums München.</w:t>
      </w:r>
      <w:r w:rsidR="00304BC3">
        <w:rPr>
          <w:color w:val="000000"/>
        </w:rPr>
        <w:t xml:space="preserve"> Er hat seine Arbeit im Kampf gegen Zahlungsmanipulationen oder Angriffe auf Online Banking vorgestellt.</w:t>
      </w:r>
      <w:r w:rsidR="00513DB4">
        <w:rPr>
          <w:color w:val="000000"/>
        </w:rPr>
        <w:t xml:space="preserve"> </w:t>
      </w:r>
      <w:r w:rsidR="007F189C" w:rsidRPr="007F189C">
        <w:rPr>
          <w:color w:val="000000"/>
        </w:rPr>
        <w:t xml:space="preserve">Der zweite Referent war </w:t>
      </w:r>
      <w:r w:rsidR="007F189C" w:rsidRPr="007F189C">
        <w:rPr>
          <w:bCs/>
          <w:color w:val="000000"/>
        </w:rPr>
        <w:t>Christian Forster</w:t>
      </w:r>
      <w:r w:rsidR="00513DB4">
        <w:rPr>
          <w:bCs/>
          <w:color w:val="000000"/>
        </w:rPr>
        <w:t xml:space="preserve"> von der Versicherungskammer Bayern und dort</w:t>
      </w:r>
      <w:r w:rsidR="007F189C" w:rsidRPr="007F189C">
        <w:rPr>
          <w:color w:val="000000"/>
        </w:rPr>
        <w:t xml:space="preserve"> Abteilungsleiter </w:t>
      </w:r>
      <w:r w:rsidR="00513DB4">
        <w:rPr>
          <w:color w:val="000000"/>
        </w:rPr>
        <w:t xml:space="preserve">für </w:t>
      </w:r>
      <w:r w:rsidR="007F189C" w:rsidRPr="007F189C">
        <w:rPr>
          <w:color w:val="000000"/>
        </w:rPr>
        <w:t xml:space="preserve">Haftpflichtversicherung, Vermögensschadenhaftpflicht, D&amp;O und </w:t>
      </w:r>
      <w:proofErr w:type="spellStart"/>
      <w:r w:rsidR="007F189C" w:rsidRPr="007F189C">
        <w:rPr>
          <w:color w:val="000000"/>
        </w:rPr>
        <w:t>Cyber</w:t>
      </w:r>
      <w:proofErr w:type="spellEnd"/>
      <w:r w:rsidR="007F189C" w:rsidRPr="007F189C">
        <w:rPr>
          <w:color w:val="000000"/>
        </w:rPr>
        <w:t>.</w:t>
      </w:r>
      <w:r w:rsidR="00304BC3">
        <w:rPr>
          <w:color w:val="000000"/>
        </w:rPr>
        <w:t xml:space="preserve"> Er </w:t>
      </w:r>
      <w:r w:rsidR="00513DB4">
        <w:rPr>
          <w:color w:val="000000"/>
        </w:rPr>
        <w:t>klärte</w:t>
      </w:r>
      <w:r w:rsidR="00304BC3">
        <w:rPr>
          <w:color w:val="000000"/>
        </w:rPr>
        <w:t xml:space="preserve"> die Teilnehmer über Risiken und Schutzmöglichkeiten zu Cyberangriffen </w:t>
      </w:r>
      <w:r w:rsidR="00513DB4">
        <w:rPr>
          <w:color w:val="000000"/>
        </w:rPr>
        <w:t>auf</w:t>
      </w:r>
      <w:r w:rsidR="00304BC3">
        <w:rPr>
          <w:color w:val="000000"/>
        </w:rPr>
        <w:t>.</w:t>
      </w:r>
    </w:p>
    <w:p w:rsidR="007F189C" w:rsidRPr="007F189C" w:rsidRDefault="007F189C" w:rsidP="00513DB4">
      <w:pPr>
        <w:spacing w:before="100" w:beforeAutospacing="1" w:after="100" w:afterAutospacing="1" w:line="320" w:lineRule="exact"/>
        <w:ind w:right="1984"/>
        <w:rPr>
          <w:rFonts w:eastAsia="Times New Roman" w:cs="Times New Roman"/>
          <w:color w:val="000000"/>
        </w:rPr>
      </w:pPr>
      <w:r w:rsidRPr="007F189C">
        <w:rPr>
          <w:color w:val="000000"/>
        </w:rPr>
        <w:t>Marcus Betz, Direktor Unternehmens- und Firmenkunden der Stadtsparkasse München:</w:t>
      </w:r>
      <w:r>
        <w:rPr>
          <w:color w:val="000000"/>
        </w:rPr>
        <w:t xml:space="preserve"> „</w:t>
      </w:r>
      <w:r w:rsidRPr="007F189C">
        <w:rPr>
          <w:rFonts w:eastAsia="Times New Roman" w:cs="Times New Roman"/>
          <w:color w:val="000000"/>
        </w:rPr>
        <w:t>Die Zahl an Cyberangriffen und die daraus resultierenden Schäden n</w:t>
      </w:r>
      <w:r>
        <w:rPr>
          <w:rFonts w:eastAsia="Times New Roman" w:cs="Times New Roman"/>
          <w:color w:val="000000"/>
        </w:rPr>
        <w:t xml:space="preserve">ehmen jährlich zu. </w:t>
      </w:r>
      <w:r w:rsidR="00513DB4">
        <w:rPr>
          <w:rFonts w:eastAsia="Times New Roman" w:cs="Times New Roman"/>
          <w:color w:val="000000"/>
        </w:rPr>
        <w:t>Unser Ziel ist, unsere</w:t>
      </w:r>
      <w:r>
        <w:rPr>
          <w:rFonts w:eastAsia="Times New Roman" w:cs="Times New Roman"/>
          <w:color w:val="000000"/>
        </w:rPr>
        <w:t xml:space="preserve"> Kunden hierzu </w:t>
      </w:r>
      <w:r w:rsidR="00513DB4">
        <w:rPr>
          <w:rFonts w:eastAsia="Times New Roman" w:cs="Times New Roman"/>
          <w:color w:val="000000"/>
        </w:rPr>
        <w:t xml:space="preserve">zu </w:t>
      </w:r>
      <w:r>
        <w:rPr>
          <w:rFonts w:eastAsia="Times New Roman" w:cs="Times New Roman"/>
          <w:color w:val="000000"/>
        </w:rPr>
        <w:t>sensibilisier</w:t>
      </w:r>
      <w:r w:rsidR="00513DB4">
        <w:rPr>
          <w:rFonts w:eastAsia="Times New Roman" w:cs="Times New Roman"/>
          <w:color w:val="000000"/>
        </w:rPr>
        <w:t>en</w:t>
      </w:r>
      <w:r>
        <w:rPr>
          <w:rFonts w:eastAsia="Times New Roman" w:cs="Times New Roman"/>
          <w:color w:val="000000"/>
        </w:rPr>
        <w:t>. Ich freue mich über so viel positives Feedback – das war bestimmt nicht die letzte Veranstaltung dieser Art“.</w:t>
      </w:r>
      <w:r w:rsidR="00513DB4">
        <w:rPr>
          <w:rFonts w:eastAsia="Times New Roman" w:cs="Times New Roman"/>
          <w:color w:val="000000"/>
        </w:rPr>
        <w:t xml:space="preserve"> </w:t>
      </w:r>
      <w:r w:rsidRPr="007F189C">
        <w:rPr>
          <w:rFonts w:eastAsia="Times New Roman" w:cs="Times New Roman"/>
          <w:color w:val="000000"/>
        </w:rPr>
        <w:t>Die zunehmende Digitalisierung ist für Unternehmen ein wichtiger Erfolgsfaktor. Digitale Technologien bestimmen den Arbeitsalltag und die Wettbewerbsfähigkeit.</w:t>
      </w:r>
      <w:r w:rsidR="00513DB4">
        <w:rPr>
          <w:rFonts w:eastAsia="Times New Roman" w:cs="Times New Roman"/>
          <w:color w:val="000000"/>
        </w:rPr>
        <w:t xml:space="preserve"> </w:t>
      </w:r>
      <w:r w:rsidRPr="007F189C">
        <w:rPr>
          <w:rFonts w:eastAsia="Times New Roman" w:cs="Times New Roman"/>
          <w:color w:val="000000"/>
        </w:rPr>
        <w:t xml:space="preserve">Gerade mittelständische Unternehmen werden </w:t>
      </w:r>
      <w:bookmarkStart w:id="0" w:name="_GoBack"/>
      <w:bookmarkEnd w:id="0"/>
      <w:r w:rsidRPr="007F189C">
        <w:rPr>
          <w:rFonts w:eastAsia="Times New Roman" w:cs="Times New Roman"/>
          <w:color w:val="000000"/>
        </w:rPr>
        <w:t>immer öfter Ziel von Cyber-Attacken. Mit Folgen, die sogar die Existenz des Unternehmens bedrohen können.</w:t>
      </w:r>
    </w:p>
    <w:p w:rsidR="000D24F3" w:rsidRPr="00287740" w:rsidRDefault="000D24F3" w:rsidP="0051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right="425"/>
        <w:rPr>
          <w:b/>
          <w:sz w:val="20"/>
        </w:rPr>
      </w:pPr>
      <w:r w:rsidRPr="00287740">
        <w:rPr>
          <w:b/>
          <w:sz w:val="20"/>
        </w:rPr>
        <w:t>Die Stadtsparkasse München</w:t>
      </w:r>
    </w:p>
    <w:p w:rsidR="000D24F3" w:rsidRPr="00287740" w:rsidRDefault="000D24F3" w:rsidP="0051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right="425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>
        <w:rPr>
          <w:sz w:val="20"/>
        </w:rPr>
        <w:t>8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56D7C" w:rsidRPr="000D24F3" w:rsidRDefault="000D24F3" w:rsidP="0051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right="425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>
        <w:rPr>
          <w:sz w:val="20"/>
        </w:rPr>
        <w:t xml:space="preserve">(2018) </w:t>
      </w:r>
      <w:r w:rsidRPr="00287740">
        <w:rPr>
          <w:sz w:val="20"/>
        </w:rPr>
        <w:t>ist die Stadtsparkasse München die größte bayerische und fünftgrößte deutsche Sparkasse. Das Kreditinstitut 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>30</w:t>
      </w:r>
      <w:r w:rsidRPr="00287740">
        <w:rPr>
          <w:sz w:val="20"/>
        </w:rPr>
        <w:t xml:space="preserve"> Auszubildende (Stand 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756D7C" w:rsidRPr="000D24F3" w:rsidSect="009D56A3">
      <w:headerReference w:type="default" r:id="rId8"/>
      <w:footerReference w:type="default" r:id="rId9"/>
      <w:footerReference w:type="first" r:id="rId10"/>
      <w:pgSz w:w="11906" w:h="16838"/>
      <w:pgMar w:top="1843" w:right="1274" w:bottom="1134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D9" w:rsidRDefault="000076D9">
      <w:r>
        <w:separator/>
      </w:r>
    </w:p>
  </w:endnote>
  <w:endnote w:type="continuationSeparator" w:id="0">
    <w:p w:rsidR="000076D9" w:rsidRDefault="0000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:rsidR="00756D7C" w:rsidRDefault="00926C0D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8A50399" wp14:editId="3D87CB8A">
          <wp:simplePos x="0" y="0"/>
          <wp:positionH relativeFrom="margin">
            <wp:posOffset>5358130</wp:posOffset>
          </wp:positionH>
          <wp:positionV relativeFrom="paragraph">
            <wp:posOffset>76200</wp:posOffset>
          </wp:positionV>
          <wp:extent cx="128270" cy="128270"/>
          <wp:effectExtent l="0" t="0" r="5080" b="5080"/>
          <wp:wrapSquare wrapText="bothSides" distT="0" distB="0" distL="114300" distR="114300"/>
          <wp:docPr id="114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984780" wp14:editId="75FBAF38">
          <wp:simplePos x="0" y="0"/>
          <wp:positionH relativeFrom="margin">
            <wp:posOffset>4932045</wp:posOffset>
          </wp:positionH>
          <wp:positionV relativeFrom="paragraph">
            <wp:posOffset>20320</wp:posOffset>
          </wp:positionV>
          <wp:extent cx="399415" cy="237490"/>
          <wp:effectExtent l="0" t="0" r="635" b="0"/>
          <wp:wrapSquare wrapText="bothSides" distT="0" distB="0" distL="114300" distR="114300"/>
          <wp:docPr id="115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537E009D" wp14:editId="23EA57E3">
          <wp:simplePos x="0" y="0"/>
          <wp:positionH relativeFrom="column">
            <wp:posOffset>5572125</wp:posOffset>
          </wp:positionH>
          <wp:positionV relativeFrom="paragraph">
            <wp:posOffset>81915</wp:posOffset>
          </wp:positionV>
          <wp:extent cx="132715" cy="136525"/>
          <wp:effectExtent l="0" t="0" r="635" b="0"/>
          <wp:wrapSquare wrapText="bothSides"/>
          <wp:docPr id="116" name="Grafi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4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7F189C">
      <w:rPr>
        <w:color w:val="000000" w:themeColor="text1"/>
        <w:sz w:val="14"/>
        <w:szCs w:val="14"/>
      </w:rPr>
      <w:t>11</w:t>
    </w:r>
    <w:r w:rsidR="000B4289">
      <w:rPr>
        <w:color w:val="000000" w:themeColor="text1"/>
        <w:sz w:val="14"/>
        <w:szCs w:val="14"/>
      </w:rPr>
      <w:t>.02</w:t>
    </w:r>
    <w:r w:rsidR="002D6BB4">
      <w:rPr>
        <w:color w:val="000000" w:themeColor="text1"/>
        <w:sz w:val="14"/>
        <w:szCs w:val="14"/>
      </w:rPr>
      <w:t>.2020</w:t>
    </w:r>
  </w:p>
  <w:p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513DB4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513DB4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43C1B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D9" w:rsidRDefault="000076D9">
      <w:r>
        <w:separator/>
      </w:r>
    </w:p>
  </w:footnote>
  <w:footnote w:type="continuationSeparator" w:id="0">
    <w:p w:rsidR="000076D9" w:rsidRDefault="0000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F19A88" wp14:editId="14C206BC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13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5C6F"/>
    <w:rsid w:val="000065AC"/>
    <w:rsid w:val="000076D9"/>
    <w:rsid w:val="0002088C"/>
    <w:rsid w:val="00026B0D"/>
    <w:rsid w:val="00031EC9"/>
    <w:rsid w:val="000544F6"/>
    <w:rsid w:val="000607C6"/>
    <w:rsid w:val="000659B0"/>
    <w:rsid w:val="00067EE2"/>
    <w:rsid w:val="000740E7"/>
    <w:rsid w:val="000778E2"/>
    <w:rsid w:val="00082DD5"/>
    <w:rsid w:val="00085EFF"/>
    <w:rsid w:val="00090A86"/>
    <w:rsid w:val="00091B6A"/>
    <w:rsid w:val="00092070"/>
    <w:rsid w:val="000921AC"/>
    <w:rsid w:val="00097DA6"/>
    <w:rsid w:val="000B4289"/>
    <w:rsid w:val="000B5FCE"/>
    <w:rsid w:val="000C1DB2"/>
    <w:rsid w:val="000D24F3"/>
    <w:rsid w:val="000D49AE"/>
    <w:rsid w:val="000D5B03"/>
    <w:rsid w:val="000E2998"/>
    <w:rsid w:val="000F5333"/>
    <w:rsid w:val="00105C2B"/>
    <w:rsid w:val="00116013"/>
    <w:rsid w:val="00124FBB"/>
    <w:rsid w:val="001263B9"/>
    <w:rsid w:val="0013061E"/>
    <w:rsid w:val="001443E3"/>
    <w:rsid w:val="0015698D"/>
    <w:rsid w:val="00160309"/>
    <w:rsid w:val="00170C9E"/>
    <w:rsid w:val="001713D3"/>
    <w:rsid w:val="0018388E"/>
    <w:rsid w:val="0019695C"/>
    <w:rsid w:val="001A022E"/>
    <w:rsid w:val="001A4FAB"/>
    <w:rsid w:val="001A7DE4"/>
    <w:rsid w:val="001B1F62"/>
    <w:rsid w:val="001B3219"/>
    <w:rsid w:val="001B6084"/>
    <w:rsid w:val="001C03FA"/>
    <w:rsid w:val="001C428D"/>
    <w:rsid w:val="001D6E4F"/>
    <w:rsid w:val="001E2992"/>
    <w:rsid w:val="001E57BE"/>
    <w:rsid w:val="001F056C"/>
    <w:rsid w:val="001F47B4"/>
    <w:rsid w:val="001F7936"/>
    <w:rsid w:val="00200F28"/>
    <w:rsid w:val="00205332"/>
    <w:rsid w:val="00210C8B"/>
    <w:rsid w:val="00215D99"/>
    <w:rsid w:val="00223D75"/>
    <w:rsid w:val="0024209D"/>
    <w:rsid w:val="00260062"/>
    <w:rsid w:val="0026075A"/>
    <w:rsid w:val="00263515"/>
    <w:rsid w:val="00264914"/>
    <w:rsid w:val="002845CB"/>
    <w:rsid w:val="00285310"/>
    <w:rsid w:val="00290FB9"/>
    <w:rsid w:val="002937E9"/>
    <w:rsid w:val="00293F72"/>
    <w:rsid w:val="00294FF5"/>
    <w:rsid w:val="00295AAC"/>
    <w:rsid w:val="002A3EF0"/>
    <w:rsid w:val="002A61FE"/>
    <w:rsid w:val="002B1CEA"/>
    <w:rsid w:val="002C3FDF"/>
    <w:rsid w:val="002D3156"/>
    <w:rsid w:val="002D6BB4"/>
    <w:rsid w:val="002E244E"/>
    <w:rsid w:val="002E37E7"/>
    <w:rsid w:val="002E674C"/>
    <w:rsid w:val="002F1083"/>
    <w:rsid w:val="00303F67"/>
    <w:rsid w:val="00304BC3"/>
    <w:rsid w:val="003129C9"/>
    <w:rsid w:val="00317FED"/>
    <w:rsid w:val="00320670"/>
    <w:rsid w:val="003213B3"/>
    <w:rsid w:val="00330287"/>
    <w:rsid w:val="003350F4"/>
    <w:rsid w:val="00335BF3"/>
    <w:rsid w:val="0034338E"/>
    <w:rsid w:val="00346ACF"/>
    <w:rsid w:val="003530C6"/>
    <w:rsid w:val="003555C8"/>
    <w:rsid w:val="00360138"/>
    <w:rsid w:val="003602C4"/>
    <w:rsid w:val="003717BA"/>
    <w:rsid w:val="00372248"/>
    <w:rsid w:val="003915D2"/>
    <w:rsid w:val="003A1419"/>
    <w:rsid w:val="003B127B"/>
    <w:rsid w:val="003B2CCA"/>
    <w:rsid w:val="003B35DC"/>
    <w:rsid w:val="003B7E34"/>
    <w:rsid w:val="003C00AF"/>
    <w:rsid w:val="003D65FB"/>
    <w:rsid w:val="003E3640"/>
    <w:rsid w:val="003F2E37"/>
    <w:rsid w:val="00400FA1"/>
    <w:rsid w:val="004061A9"/>
    <w:rsid w:val="00412DEB"/>
    <w:rsid w:val="00413A0E"/>
    <w:rsid w:val="00413E54"/>
    <w:rsid w:val="00422389"/>
    <w:rsid w:val="00434746"/>
    <w:rsid w:val="00442E5D"/>
    <w:rsid w:val="00443FC1"/>
    <w:rsid w:val="00444E18"/>
    <w:rsid w:val="00455FBB"/>
    <w:rsid w:val="0045645E"/>
    <w:rsid w:val="004610F4"/>
    <w:rsid w:val="00462355"/>
    <w:rsid w:val="00467189"/>
    <w:rsid w:val="00474DC0"/>
    <w:rsid w:val="0049129A"/>
    <w:rsid w:val="00491949"/>
    <w:rsid w:val="00494104"/>
    <w:rsid w:val="004A6CDE"/>
    <w:rsid w:val="004D6CE9"/>
    <w:rsid w:val="004E7E9B"/>
    <w:rsid w:val="004F4A15"/>
    <w:rsid w:val="004F5D11"/>
    <w:rsid w:val="00513DB4"/>
    <w:rsid w:val="0053210C"/>
    <w:rsid w:val="00544E00"/>
    <w:rsid w:val="0055675D"/>
    <w:rsid w:val="00560295"/>
    <w:rsid w:val="00562A82"/>
    <w:rsid w:val="00567E4E"/>
    <w:rsid w:val="00570562"/>
    <w:rsid w:val="00583AA2"/>
    <w:rsid w:val="00587EEF"/>
    <w:rsid w:val="00594065"/>
    <w:rsid w:val="005A0445"/>
    <w:rsid w:val="005D4A9C"/>
    <w:rsid w:val="005F36BF"/>
    <w:rsid w:val="005F5E78"/>
    <w:rsid w:val="00601230"/>
    <w:rsid w:val="006031A6"/>
    <w:rsid w:val="006061B3"/>
    <w:rsid w:val="0062060E"/>
    <w:rsid w:val="006214E0"/>
    <w:rsid w:val="00621502"/>
    <w:rsid w:val="006422BB"/>
    <w:rsid w:val="00652D0B"/>
    <w:rsid w:val="00660B99"/>
    <w:rsid w:val="00667BFA"/>
    <w:rsid w:val="00673934"/>
    <w:rsid w:val="006776B4"/>
    <w:rsid w:val="0069083C"/>
    <w:rsid w:val="006A7EBB"/>
    <w:rsid w:val="006B05A2"/>
    <w:rsid w:val="006C24A0"/>
    <w:rsid w:val="006C6A0A"/>
    <w:rsid w:val="006C7081"/>
    <w:rsid w:val="006D3FBA"/>
    <w:rsid w:val="006E3045"/>
    <w:rsid w:val="006F411C"/>
    <w:rsid w:val="006F6241"/>
    <w:rsid w:val="006F71E4"/>
    <w:rsid w:val="007001C3"/>
    <w:rsid w:val="00712729"/>
    <w:rsid w:val="007160CD"/>
    <w:rsid w:val="00724121"/>
    <w:rsid w:val="00734124"/>
    <w:rsid w:val="00735E3D"/>
    <w:rsid w:val="00741C01"/>
    <w:rsid w:val="007465B1"/>
    <w:rsid w:val="00756D7C"/>
    <w:rsid w:val="00765872"/>
    <w:rsid w:val="00766EA4"/>
    <w:rsid w:val="00770B4A"/>
    <w:rsid w:val="00785B7F"/>
    <w:rsid w:val="0079034F"/>
    <w:rsid w:val="0079633A"/>
    <w:rsid w:val="007A72A6"/>
    <w:rsid w:val="007B6E6F"/>
    <w:rsid w:val="007D3592"/>
    <w:rsid w:val="007E7684"/>
    <w:rsid w:val="007F1255"/>
    <w:rsid w:val="007F189C"/>
    <w:rsid w:val="007F23C1"/>
    <w:rsid w:val="007F416A"/>
    <w:rsid w:val="0080149E"/>
    <w:rsid w:val="008113DB"/>
    <w:rsid w:val="008118C5"/>
    <w:rsid w:val="0082268E"/>
    <w:rsid w:val="00827344"/>
    <w:rsid w:val="00842D10"/>
    <w:rsid w:val="00855C06"/>
    <w:rsid w:val="008639F8"/>
    <w:rsid w:val="00886B6B"/>
    <w:rsid w:val="00890B61"/>
    <w:rsid w:val="00893F34"/>
    <w:rsid w:val="008940B9"/>
    <w:rsid w:val="008C2668"/>
    <w:rsid w:val="008C4020"/>
    <w:rsid w:val="008D0915"/>
    <w:rsid w:val="008D0E69"/>
    <w:rsid w:val="008D2459"/>
    <w:rsid w:val="008D3A00"/>
    <w:rsid w:val="008E1088"/>
    <w:rsid w:val="008E4D15"/>
    <w:rsid w:val="0090015C"/>
    <w:rsid w:val="00926C0D"/>
    <w:rsid w:val="00933CD1"/>
    <w:rsid w:val="009453D5"/>
    <w:rsid w:val="00951C40"/>
    <w:rsid w:val="00953C33"/>
    <w:rsid w:val="0096361A"/>
    <w:rsid w:val="0096674D"/>
    <w:rsid w:val="00970C1D"/>
    <w:rsid w:val="00974BE9"/>
    <w:rsid w:val="00975E4F"/>
    <w:rsid w:val="00981615"/>
    <w:rsid w:val="00981BE2"/>
    <w:rsid w:val="00991386"/>
    <w:rsid w:val="00993170"/>
    <w:rsid w:val="009A1727"/>
    <w:rsid w:val="009A4E90"/>
    <w:rsid w:val="009B3DFA"/>
    <w:rsid w:val="009D56A3"/>
    <w:rsid w:val="009D6D64"/>
    <w:rsid w:val="009D7C40"/>
    <w:rsid w:val="009E0B63"/>
    <w:rsid w:val="009E26E5"/>
    <w:rsid w:val="009F33C8"/>
    <w:rsid w:val="009F58CF"/>
    <w:rsid w:val="00A156CA"/>
    <w:rsid w:val="00A344FC"/>
    <w:rsid w:val="00A37B21"/>
    <w:rsid w:val="00A4056B"/>
    <w:rsid w:val="00A534E7"/>
    <w:rsid w:val="00A60AA9"/>
    <w:rsid w:val="00A72DB7"/>
    <w:rsid w:val="00A821E5"/>
    <w:rsid w:val="00A90208"/>
    <w:rsid w:val="00A92DE3"/>
    <w:rsid w:val="00A94371"/>
    <w:rsid w:val="00AB2336"/>
    <w:rsid w:val="00AB45A2"/>
    <w:rsid w:val="00AB5892"/>
    <w:rsid w:val="00AC626F"/>
    <w:rsid w:val="00AC6A0C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40BCF"/>
    <w:rsid w:val="00B43DF8"/>
    <w:rsid w:val="00B45447"/>
    <w:rsid w:val="00B466D9"/>
    <w:rsid w:val="00B54FBA"/>
    <w:rsid w:val="00B642AB"/>
    <w:rsid w:val="00B75E42"/>
    <w:rsid w:val="00B9628F"/>
    <w:rsid w:val="00BA007E"/>
    <w:rsid w:val="00BB04A2"/>
    <w:rsid w:val="00BB2B08"/>
    <w:rsid w:val="00BB39D6"/>
    <w:rsid w:val="00BC4599"/>
    <w:rsid w:val="00BD2C8C"/>
    <w:rsid w:val="00BE3832"/>
    <w:rsid w:val="00BF2A00"/>
    <w:rsid w:val="00C0256F"/>
    <w:rsid w:val="00C16A42"/>
    <w:rsid w:val="00C22066"/>
    <w:rsid w:val="00C231D1"/>
    <w:rsid w:val="00C26BB7"/>
    <w:rsid w:val="00C2732A"/>
    <w:rsid w:val="00C31996"/>
    <w:rsid w:val="00C32CA7"/>
    <w:rsid w:val="00C43C1B"/>
    <w:rsid w:val="00C53F3D"/>
    <w:rsid w:val="00C633A0"/>
    <w:rsid w:val="00C65E16"/>
    <w:rsid w:val="00C73E99"/>
    <w:rsid w:val="00C80312"/>
    <w:rsid w:val="00C95A4D"/>
    <w:rsid w:val="00CA7987"/>
    <w:rsid w:val="00CB7500"/>
    <w:rsid w:val="00CC4D70"/>
    <w:rsid w:val="00CD7F28"/>
    <w:rsid w:val="00CE3538"/>
    <w:rsid w:val="00D062DD"/>
    <w:rsid w:val="00D07E84"/>
    <w:rsid w:val="00D14D2C"/>
    <w:rsid w:val="00D1767F"/>
    <w:rsid w:val="00D220AB"/>
    <w:rsid w:val="00D35E7C"/>
    <w:rsid w:val="00D36462"/>
    <w:rsid w:val="00D37F87"/>
    <w:rsid w:val="00D46B95"/>
    <w:rsid w:val="00D66DC4"/>
    <w:rsid w:val="00D727A9"/>
    <w:rsid w:val="00D7621E"/>
    <w:rsid w:val="00DC10CB"/>
    <w:rsid w:val="00DC1BA7"/>
    <w:rsid w:val="00DE7071"/>
    <w:rsid w:val="00DE73A8"/>
    <w:rsid w:val="00DF4011"/>
    <w:rsid w:val="00DF45B8"/>
    <w:rsid w:val="00DF4CBA"/>
    <w:rsid w:val="00E03657"/>
    <w:rsid w:val="00E17B30"/>
    <w:rsid w:val="00E338E1"/>
    <w:rsid w:val="00E3444E"/>
    <w:rsid w:val="00E502A6"/>
    <w:rsid w:val="00E5075B"/>
    <w:rsid w:val="00E50EF0"/>
    <w:rsid w:val="00E74AFA"/>
    <w:rsid w:val="00E77BCC"/>
    <w:rsid w:val="00E77F84"/>
    <w:rsid w:val="00E8599F"/>
    <w:rsid w:val="00E8694C"/>
    <w:rsid w:val="00E96C4D"/>
    <w:rsid w:val="00EA79D3"/>
    <w:rsid w:val="00EC24E2"/>
    <w:rsid w:val="00ED532A"/>
    <w:rsid w:val="00ED5F47"/>
    <w:rsid w:val="00EE1F1A"/>
    <w:rsid w:val="00EE20DD"/>
    <w:rsid w:val="00EE4FEA"/>
    <w:rsid w:val="00EE7252"/>
    <w:rsid w:val="00EF6D7A"/>
    <w:rsid w:val="00F12574"/>
    <w:rsid w:val="00F13ADA"/>
    <w:rsid w:val="00F143B1"/>
    <w:rsid w:val="00F14F2C"/>
    <w:rsid w:val="00F165AC"/>
    <w:rsid w:val="00F1660D"/>
    <w:rsid w:val="00F21330"/>
    <w:rsid w:val="00F262A9"/>
    <w:rsid w:val="00F35E00"/>
    <w:rsid w:val="00F516F4"/>
    <w:rsid w:val="00F53DC8"/>
    <w:rsid w:val="00F621CA"/>
    <w:rsid w:val="00F83737"/>
    <w:rsid w:val="00F93FF4"/>
    <w:rsid w:val="00FA588C"/>
    <w:rsid w:val="00FC3C66"/>
    <w:rsid w:val="00FC63F9"/>
    <w:rsid w:val="00FC71BD"/>
    <w:rsid w:val="00FD4792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338352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hyperlink" Target="mailto:presse@sskm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9898-4624-4868-B628-9F9A652A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E12795B8.dotm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Fröhler Joachim</dc:creator>
  <cp:lastModifiedBy>Dr. Joachim Fröhler</cp:lastModifiedBy>
  <cp:revision>2</cp:revision>
  <cp:lastPrinted>2020-01-23T15:51:00Z</cp:lastPrinted>
  <dcterms:created xsi:type="dcterms:W3CDTF">2020-02-11T15:57:00Z</dcterms:created>
  <dcterms:modified xsi:type="dcterms:W3CDTF">2020-02-11T15:57:00Z</dcterms:modified>
</cp:coreProperties>
</file>