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F5A0" w14:textId="77777777" w:rsidR="00706E79" w:rsidRDefault="00706E79" w:rsidP="00182702">
      <w:pPr>
        <w:rPr>
          <w:rFonts w:cs="Arial"/>
          <w:color w:val="000000"/>
        </w:rPr>
      </w:pPr>
    </w:p>
    <w:p w14:paraId="5468E9F1" w14:textId="47342248" w:rsidR="00706E79" w:rsidRPr="00697B16" w:rsidRDefault="00697B16" w:rsidP="00182702">
      <w:pPr>
        <w:rPr>
          <w:rFonts w:cs="Arial"/>
          <w:color w:val="000000"/>
          <w:sz w:val="28"/>
          <w:szCs w:val="28"/>
        </w:rPr>
      </w:pPr>
      <w:r w:rsidRPr="00697B16">
        <w:rPr>
          <w:rFonts w:cs="Arial"/>
          <w:color w:val="000000"/>
          <w:sz w:val="28"/>
          <w:szCs w:val="28"/>
        </w:rPr>
        <w:t>Perspektiven für die Apotheke vor Ort</w:t>
      </w:r>
    </w:p>
    <w:p w14:paraId="211DD6A0" w14:textId="77777777" w:rsidR="00697B16" w:rsidRPr="00015D8D" w:rsidRDefault="00697B16" w:rsidP="00182702">
      <w:pPr>
        <w:rPr>
          <w:rFonts w:cs="Arial"/>
          <w:color w:val="000000"/>
        </w:rPr>
      </w:pPr>
    </w:p>
    <w:p w14:paraId="5CB6470B" w14:textId="10BF8082" w:rsidR="002065C4" w:rsidRPr="002A1D21" w:rsidRDefault="00697B16" w:rsidP="00182702">
      <w:pPr>
        <w:rPr>
          <w:rFonts w:cs="Arial"/>
          <w:i/>
          <w:color w:val="000000"/>
          <w:sz w:val="28"/>
          <w:szCs w:val="28"/>
        </w:rPr>
      </w:pPr>
      <w:r>
        <w:rPr>
          <w:rFonts w:cs="Arial"/>
          <w:b/>
          <w:i/>
          <w:color w:val="000000"/>
        </w:rPr>
        <w:t xml:space="preserve">Von </w:t>
      </w:r>
      <w:r w:rsidR="009F3584" w:rsidRPr="002A1D21">
        <w:rPr>
          <w:rFonts w:cs="Arial"/>
          <w:b/>
          <w:i/>
          <w:color w:val="000000"/>
        </w:rPr>
        <w:t xml:space="preserve">Daniel </w:t>
      </w:r>
      <w:proofErr w:type="spellStart"/>
      <w:r w:rsidR="009F3584" w:rsidRPr="002A1D21">
        <w:rPr>
          <w:rFonts w:cs="Arial"/>
          <w:b/>
          <w:i/>
          <w:color w:val="000000"/>
        </w:rPr>
        <w:t>Zehnich</w:t>
      </w:r>
      <w:proofErr w:type="spellEnd"/>
      <w:r w:rsidR="009F3584" w:rsidRPr="002A1D21">
        <w:rPr>
          <w:rFonts w:cs="Arial"/>
          <w:i/>
          <w:color w:val="000000"/>
        </w:rPr>
        <w:t>, Leiter des</w:t>
      </w:r>
      <w:r w:rsidR="002A1D21" w:rsidRPr="002A1D21">
        <w:rPr>
          <w:rFonts w:cs="Arial"/>
          <w:i/>
          <w:color w:val="000000"/>
        </w:rPr>
        <w:t xml:space="preserve"> Bereich</w:t>
      </w:r>
      <w:r w:rsidR="009F3584" w:rsidRPr="002A1D21">
        <w:rPr>
          <w:rFonts w:cs="Arial"/>
          <w:i/>
          <w:color w:val="000000"/>
        </w:rPr>
        <w:t xml:space="preserve">s Gesundheitsmärkte und Gesundheitspolitik </w:t>
      </w:r>
      <w:r w:rsidR="002A1D21" w:rsidRPr="002A1D21">
        <w:rPr>
          <w:rFonts w:cs="Arial"/>
          <w:i/>
          <w:color w:val="000000"/>
        </w:rPr>
        <w:br/>
      </w:r>
      <w:r w:rsidR="009F3584" w:rsidRPr="002A1D21">
        <w:rPr>
          <w:rFonts w:cs="Arial"/>
          <w:i/>
          <w:color w:val="000000"/>
        </w:rPr>
        <w:t xml:space="preserve">bei der </w:t>
      </w:r>
      <w:r w:rsidR="002A1D21" w:rsidRPr="002A1D21">
        <w:rPr>
          <w:rFonts w:cs="Arial"/>
          <w:i/>
          <w:color w:val="000000"/>
        </w:rPr>
        <w:t>Deutschen Apotheker- und Ärztebank (</w:t>
      </w:r>
      <w:proofErr w:type="spellStart"/>
      <w:r w:rsidR="009F3584" w:rsidRPr="002A1D21">
        <w:rPr>
          <w:rFonts w:cs="Arial"/>
          <w:i/>
          <w:color w:val="000000"/>
        </w:rPr>
        <w:t>apoBank</w:t>
      </w:r>
      <w:proofErr w:type="spellEnd"/>
      <w:r w:rsidR="002A1D21" w:rsidRPr="002A1D21">
        <w:rPr>
          <w:rFonts w:cs="Arial"/>
          <w:i/>
          <w:color w:val="000000"/>
        </w:rPr>
        <w:t>)</w:t>
      </w:r>
    </w:p>
    <w:p w14:paraId="6CE0B4CB" w14:textId="77777777" w:rsidR="00182702" w:rsidRPr="00015D8D" w:rsidRDefault="00182702" w:rsidP="00182702">
      <w:pPr>
        <w:rPr>
          <w:rFonts w:cs="Arial"/>
          <w:i/>
          <w:color w:val="000000"/>
        </w:rPr>
      </w:pPr>
    </w:p>
    <w:p w14:paraId="0384B979" w14:textId="4C661CD2" w:rsidR="001F72AE" w:rsidRPr="003E0F0D" w:rsidRDefault="00E13443" w:rsidP="00182702">
      <w:pPr>
        <w:tabs>
          <w:tab w:val="left" w:pos="8789"/>
        </w:tabs>
        <w:spacing w:after="160" w:line="276" w:lineRule="auto"/>
        <w:ind w:right="708"/>
      </w:pPr>
      <w:r>
        <w:t>D</w:t>
      </w:r>
      <w:r w:rsidR="0003068D">
        <w:t xml:space="preserve">ie von der </w:t>
      </w:r>
      <w:proofErr w:type="spellStart"/>
      <w:r w:rsidR="0003068D">
        <w:t>apoBank</w:t>
      </w:r>
      <w:proofErr w:type="spellEnd"/>
      <w:r w:rsidR="0003068D">
        <w:t xml:space="preserve"> in 2018 finanzierten Apothekengründung</w:t>
      </w:r>
      <w:r>
        <w:t>en na</w:t>
      </w:r>
      <w:r w:rsidR="0003068D">
        <w:t>hmen im Vergleich zum Vorjahr zu</w:t>
      </w:r>
      <w:r w:rsidR="002D2310">
        <w:rPr>
          <w:rFonts w:cs="Arial"/>
          <w:color w:val="000000"/>
        </w:rPr>
        <w:t>, d</w:t>
      </w:r>
      <w:r w:rsidR="00182702" w:rsidRPr="001F72AE">
        <w:rPr>
          <w:rFonts w:cs="Arial"/>
          <w:color w:val="000000"/>
        </w:rPr>
        <w:t xml:space="preserve">och </w:t>
      </w:r>
      <w:r w:rsidR="009537BA">
        <w:rPr>
          <w:rFonts w:cs="Arial"/>
          <w:color w:val="000000"/>
        </w:rPr>
        <w:t xml:space="preserve">im Gesamtmarkt </w:t>
      </w:r>
      <w:bookmarkStart w:id="0" w:name="_GoBack"/>
      <w:bookmarkEnd w:id="0"/>
      <w:r w:rsidR="00473CCC">
        <w:rPr>
          <w:rFonts w:cs="Arial"/>
          <w:color w:val="000000"/>
        </w:rPr>
        <w:t xml:space="preserve">sieht die Entwicklung </w:t>
      </w:r>
      <w:r w:rsidR="0083535A">
        <w:rPr>
          <w:rFonts w:cs="Arial"/>
          <w:color w:val="000000"/>
        </w:rPr>
        <w:t xml:space="preserve">leider </w:t>
      </w:r>
      <w:r w:rsidR="000C31F1">
        <w:rPr>
          <w:rFonts w:cs="Arial"/>
          <w:color w:val="000000"/>
        </w:rPr>
        <w:t>anders aus - e</w:t>
      </w:r>
      <w:r w:rsidR="0083535A">
        <w:t xml:space="preserve">in </w:t>
      </w:r>
      <w:r w:rsidR="009537BA">
        <w:t>nicht unerheblicher Teil</w:t>
      </w:r>
      <w:r w:rsidR="00566DF7">
        <w:t xml:space="preserve"> </w:t>
      </w:r>
      <w:r w:rsidR="009537BA">
        <w:t>muss</w:t>
      </w:r>
      <w:r w:rsidR="00473CCC" w:rsidRPr="00473CCC">
        <w:t xml:space="preserve"> </w:t>
      </w:r>
      <w:r w:rsidR="002D2310">
        <w:t>schließen: S</w:t>
      </w:r>
      <w:r w:rsidR="00A111E8">
        <w:t>chätzungsweise</w:t>
      </w:r>
      <w:r w:rsidR="009537BA">
        <w:t xml:space="preserve"> rund 40 Prozent der potenziell angebotenen Apotheken </w:t>
      </w:r>
      <w:r w:rsidR="00A111E8">
        <w:t xml:space="preserve">finden </w:t>
      </w:r>
      <w:r w:rsidR="0083535A">
        <w:t xml:space="preserve">keinen Nachfolger. </w:t>
      </w:r>
      <w:r w:rsidR="003E0F0D">
        <w:t xml:space="preserve">Insbesondere Inhaber kleiner Apotheken - die aber nicht nur auf dem Land sondern genauso in Großstädten anzutreffen sind - haben Schwierigkeiten, ihr Lebenswerk weiterzugeben. So wird die </w:t>
      </w:r>
      <w:r w:rsidR="003E0F0D" w:rsidRPr="00EA11F8">
        <w:rPr>
          <w:rFonts w:cs="CorporateS-Light"/>
        </w:rPr>
        <w:t>Apotheken</w:t>
      </w:r>
      <w:r w:rsidR="003E0F0D">
        <w:rPr>
          <w:rFonts w:cs="CorporateS-Light"/>
        </w:rPr>
        <w:t>dichte in Deutschland allmählich geringer</w:t>
      </w:r>
      <w:r w:rsidR="003E0F0D" w:rsidRPr="00EA11F8">
        <w:rPr>
          <w:rFonts w:cs="CorporateS-Light"/>
        </w:rPr>
        <w:t xml:space="preserve">. </w:t>
      </w:r>
      <w:r w:rsidR="003E0F0D">
        <w:rPr>
          <w:rFonts w:cs="CorporateS-Light"/>
        </w:rPr>
        <w:t>Und n</w:t>
      </w:r>
      <w:r w:rsidR="003E0F0D">
        <w:t xml:space="preserve">atürlich </w:t>
      </w:r>
      <w:r w:rsidR="00A111E8">
        <w:t xml:space="preserve">zeigen </w:t>
      </w:r>
      <w:r w:rsidR="003E0F0D">
        <w:t xml:space="preserve">sich die </w:t>
      </w:r>
      <w:r w:rsidR="00A111E8">
        <w:t>Trends der</w:t>
      </w:r>
      <w:r w:rsidR="00457666">
        <w:t xml:space="preserve"> anderen</w:t>
      </w:r>
      <w:r w:rsidR="003E0F0D">
        <w:t xml:space="preserve"> Heilberuf</w:t>
      </w:r>
      <w:r w:rsidR="00457666">
        <w:t>sgruppen</w:t>
      </w:r>
      <w:r w:rsidR="00362C9A">
        <w:t>,</w:t>
      </w:r>
      <w:r w:rsidR="003E0F0D">
        <w:t xml:space="preserve"> </w:t>
      </w:r>
      <w:r w:rsidR="00457666">
        <w:t>wie z.</w:t>
      </w:r>
      <w:r w:rsidR="00362C9A">
        <w:t xml:space="preserve"> </w:t>
      </w:r>
      <w:r w:rsidR="00457666">
        <w:t xml:space="preserve">B. </w:t>
      </w:r>
      <w:r w:rsidR="003E0F0D">
        <w:t>zu</w:t>
      </w:r>
      <w:r w:rsidR="00457666">
        <w:t>r</w:t>
      </w:r>
      <w:r w:rsidR="003E0F0D">
        <w:t xml:space="preserve"> Anstellung</w:t>
      </w:r>
      <w:r w:rsidR="00362C9A">
        <w:t>,</w:t>
      </w:r>
      <w:r w:rsidR="003E0F0D">
        <w:t xml:space="preserve"> auch bei den Apothekern: </w:t>
      </w:r>
      <w:r w:rsidR="000C31F1">
        <w:t>So</w:t>
      </w:r>
      <w:r w:rsidR="00362C9A">
        <w:t xml:space="preserve"> </w:t>
      </w:r>
      <w:r w:rsidR="003E0F0D" w:rsidRPr="00EA11F8">
        <w:rPr>
          <w:rFonts w:cs="CorporateS-Light"/>
        </w:rPr>
        <w:t xml:space="preserve">steigt </w:t>
      </w:r>
      <w:r w:rsidR="000C31F1">
        <w:t xml:space="preserve">hier </w:t>
      </w:r>
      <w:r w:rsidR="003E0F0D" w:rsidRPr="00EA11F8">
        <w:rPr>
          <w:rFonts w:cs="CorporateS-Light"/>
        </w:rPr>
        <w:t xml:space="preserve">die Anzahl der </w:t>
      </w:r>
      <w:r w:rsidR="00362C9A">
        <w:rPr>
          <w:rFonts w:cs="CorporateS-Light"/>
        </w:rPr>
        <w:t>A</w:t>
      </w:r>
      <w:r w:rsidR="003E0F0D" w:rsidRPr="00EA11F8">
        <w:rPr>
          <w:rFonts w:cs="CorporateS-Light"/>
        </w:rPr>
        <w:t xml:space="preserve">ngestellten seit Jahren kontinuierlich, </w:t>
      </w:r>
      <w:r w:rsidR="003E0F0D">
        <w:rPr>
          <w:rFonts w:cs="CorporateS-Light"/>
        </w:rPr>
        <w:t xml:space="preserve">bei </w:t>
      </w:r>
      <w:r w:rsidR="00457666">
        <w:rPr>
          <w:rFonts w:cs="CorporateS-Light"/>
        </w:rPr>
        <w:t xml:space="preserve">gleichzeitig </w:t>
      </w:r>
      <w:r w:rsidR="003E0F0D">
        <w:rPr>
          <w:rFonts w:cs="CorporateS-Light"/>
        </w:rPr>
        <w:t>sinkender</w:t>
      </w:r>
      <w:r w:rsidR="003E0F0D" w:rsidRPr="00EA11F8">
        <w:rPr>
          <w:rFonts w:cs="CorporateS-Light"/>
        </w:rPr>
        <w:t xml:space="preserve"> Zahl der Apothekeninhaber.</w:t>
      </w:r>
      <w:r w:rsidR="003E0F0D">
        <w:t xml:space="preserve"> </w:t>
      </w:r>
      <w:r w:rsidR="00AD5EDC">
        <w:rPr>
          <w:rFonts w:cs="Arial"/>
          <w:color w:val="000000"/>
        </w:rPr>
        <w:t>Welche Perspektiven hat also</w:t>
      </w:r>
      <w:r w:rsidR="00AD5EDC" w:rsidRPr="001F72AE">
        <w:rPr>
          <w:rFonts w:cs="Arial"/>
          <w:color w:val="000000"/>
        </w:rPr>
        <w:t xml:space="preserve"> </w:t>
      </w:r>
      <w:r w:rsidR="00AD5EDC">
        <w:rPr>
          <w:rFonts w:cs="Arial"/>
          <w:color w:val="000000"/>
        </w:rPr>
        <w:t xml:space="preserve">die </w:t>
      </w:r>
      <w:r w:rsidR="000F3964">
        <w:rPr>
          <w:rFonts w:cs="Arial"/>
          <w:color w:val="000000"/>
        </w:rPr>
        <w:t>Apotheke</w:t>
      </w:r>
      <w:r w:rsidR="00AD5EDC" w:rsidRPr="001F72AE">
        <w:rPr>
          <w:rFonts w:cs="Arial"/>
          <w:color w:val="000000"/>
        </w:rPr>
        <w:t xml:space="preserve"> </w:t>
      </w:r>
      <w:r w:rsidR="00AD5EDC">
        <w:rPr>
          <w:rFonts w:cs="Arial"/>
          <w:color w:val="000000"/>
        </w:rPr>
        <w:t>vor Ort</w:t>
      </w:r>
      <w:r w:rsidR="00182702" w:rsidRPr="001F72AE">
        <w:rPr>
          <w:rFonts w:cs="Arial"/>
          <w:color w:val="000000"/>
        </w:rPr>
        <w:t xml:space="preserve">? </w:t>
      </w:r>
      <w:r w:rsidR="001F72AE">
        <w:rPr>
          <w:rFonts w:cs="Arial"/>
          <w:color w:val="000000"/>
        </w:rPr>
        <w:t>Welche Rolle spielen dabei die Versandapotheken?</w:t>
      </w:r>
      <w:r w:rsidR="00AD5EDC">
        <w:rPr>
          <w:rFonts w:cs="Arial"/>
          <w:color w:val="000000"/>
        </w:rPr>
        <w:t xml:space="preserve"> Und wie kann </w:t>
      </w:r>
      <w:r w:rsidR="001B1FB5">
        <w:rPr>
          <w:rFonts w:cs="Arial"/>
          <w:color w:val="000000"/>
        </w:rPr>
        <w:t xml:space="preserve">man </w:t>
      </w:r>
      <w:r w:rsidR="00AD5EDC">
        <w:rPr>
          <w:rFonts w:cs="Arial"/>
          <w:color w:val="000000"/>
        </w:rPr>
        <w:t xml:space="preserve">die junge Generation für die Selbständigkeit in einer eigenen Apotheke </w:t>
      </w:r>
      <w:r w:rsidR="001B1FB5">
        <w:rPr>
          <w:rFonts w:cs="Arial"/>
          <w:color w:val="000000"/>
        </w:rPr>
        <w:t>begeistern</w:t>
      </w:r>
      <w:r w:rsidR="00AD5EDC">
        <w:rPr>
          <w:rFonts w:cs="Arial"/>
          <w:color w:val="000000"/>
        </w:rPr>
        <w:t>?</w:t>
      </w:r>
      <w:r w:rsidR="000C31F1">
        <w:rPr>
          <w:rFonts w:cs="Arial"/>
          <w:color w:val="000000"/>
        </w:rPr>
        <w:t xml:space="preserve"> </w:t>
      </w:r>
    </w:p>
    <w:p w14:paraId="15CC15D3" w14:textId="77777777" w:rsidR="00362C9A" w:rsidRPr="003E0F0D" w:rsidRDefault="00362C9A" w:rsidP="00362C9A">
      <w:pPr>
        <w:tabs>
          <w:tab w:val="left" w:pos="8789"/>
        </w:tabs>
        <w:spacing w:after="160" w:line="276" w:lineRule="auto"/>
        <w:ind w:right="708"/>
        <w:rPr>
          <w:rFonts w:cs="CorporateS-Light"/>
          <w:b/>
        </w:rPr>
      </w:pPr>
      <w:r>
        <w:rPr>
          <w:rFonts w:cs="CorporateS-Light"/>
          <w:b/>
        </w:rPr>
        <w:t xml:space="preserve">Apotheke als zentraler und lokaler </w:t>
      </w:r>
      <w:r w:rsidR="000F3964">
        <w:rPr>
          <w:rFonts w:cs="CorporateS-Light"/>
          <w:b/>
        </w:rPr>
        <w:t>Gesundheitsplayer</w:t>
      </w:r>
    </w:p>
    <w:p w14:paraId="516E0256" w14:textId="60C60B06" w:rsidR="00C6566E" w:rsidRPr="00B8011B" w:rsidRDefault="00D86FEE" w:rsidP="00B8011B">
      <w:pPr>
        <w:tabs>
          <w:tab w:val="left" w:pos="8789"/>
        </w:tabs>
        <w:spacing w:after="160" w:line="276" w:lineRule="auto"/>
        <w:ind w:right="708"/>
      </w:pPr>
      <w:r w:rsidRPr="00B8011B">
        <w:t>Das Umfeld der Apotheken – geprägt durch intensiven Wettbewerb, zunehmende Digitalisierung sowie g</w:t>
      </w:r>
      <w:r w:rsidRPr="00CD034C">
        <w:t>esetzliche Regulierungen aus Berlin und Brüssel</w:t>
      </w:r>
      <w:r w:rsidRPr="00B8011B" w:rsidDel="007429F2">
        <w:t xml:space="preserve"> </w:t>
      </w:r>
      <w:r w:rsidRPr="00B8011B">
        <w:t>– wird anspruchsvoll</w:t>
      </w:r>
      <w:r w:rsidR="00362C9A" w:rsidRPr="00B8011B">
        <w:t>er</w:t>
      </w:r>
      <w:r w:rsidRPr="00B8011B">
        <w:t xml:space="preserve">. </w:t>
      </w:r>
      <w:r w:rsidR="000F3964" w:rsidRPr="00B8011B">
        <w:t>Auch</w:t>
      </w:r>
      <w:r w:rsidR="004112F7" w:rsidRPr="00B8011B">
        <w:t xml:space="preserve"> die Versandapotheken sorgen für Verunsicherung</w:t>
      </w:r>
      <w:r w:rsidR="007267D5" w:rsidRPr="00B8011B">
        <w:t xml:space="preserve"> im Markt</w:t>
      </w:r>
      <w:r w:rsidR="004112F7" w:rsidRPr="00B8011B">
        <w:t xml:space="preserve">. </w:t>
      </w:r>
      <w:r w:rsidR="003E0F0D" w:rsidRPr="00B8011B">
        <w:t>G</w:t>
      </w:r>
      <w:r w:rsidR="00B61064" w:rsidRPr="00B8011B">
        <w:t>anz konkret beschäftigt viele Apotheker</w:t>
      </w:r>
      <w:r w:rsidR="003E0F0D" w:rsidRPr="00B8011B">
        <w:t xml:space="preserve"> </w:t>
      </w:r>
      <w:r w:rsidR="00B61064" w:rsidRPr="00B8011B">
        <w:t xml:space="preserve">die Frage, ob es der Politik wirklich gelingt, die </w:t>
      </w:r>
      <w:proofErr w:type="spellStart"/>
      <w:r w:rsidR="00B61064" w:rsidRPr="00B8011B">
        <w:t>Gleichpreisigkeit</w:t>
      </w:r>
      <w:proofErr w:type="spellEnd"/>
      <w:r w:rsidR="00B61064" w:rsidRPr="00B8011B">
        <w:t xml:space="preserve"> bei rezeptpflichtigen Arzneimitteln zwischen dem Apothekenversandhandel und den Apotheken vor Ort wiederherzustellen. </w:t>
      </w:r>
      <w:r w:rsidR="0049065E" w:rsidRPr="00B8011B">
        <w:t xml:space="preserve">Spannend wird auch die Einführung des elektronischen Rezeptes: </w:t>
      </w:r>
      <w:r w:rsidR="000C31F1" w:rsidRPr="00B8011B">
        <w:t>W</w:t>
      </w:r>
      <w:r w:rsidR="00B61064" w:rsidRPr="00B8011B">
        <w:t xml:space="preserve">ie </w:t>
      </w:r>
      <w:r w:rsidR="000C31F1" w:rsidRPr="00B8011B">
        <w:t xml:space="preserve">werden </w:t>
      </w:r>
      <w:r w:rsidR="007F2758" w:rsidRPr="00B8011B">
        <w:t xml:space="preserve">die </w:t>
      </w:r>
      <w:r w:rsidR="00B61064" w:rsidRPr="00B8011B">
        <w:t xml:space="preserve">Kunden </w:t>
      </w:r>
      <w:r w:rsidR="0049065E" w:rsidRPr="00B8011B">
        <w:t>damit umgehen</w:t>
      </w:r>
      <w:r w:rsidR="000C31F1" w:rsidRPr="00B8011B">
        <w:t>?</w:t>
      </w:r>
      <w:r w:rsidR="00B61064" w:rsidRPr="00B8011B">
        <w:t xml:space="preserve"> </w:t>
      </w:r>
      <w:r w:rsidR="000C31F1" w:rsidRPr="00B8011B">
        <w:t>Wird der</w:t>
      </w:r>
      <w:r w:rsidR="00B61064" w:rsidRPr="00B8011B">
        <w:t xml:space="preserve"> Versandhandel </w:t>
      </w:r>
      <w:r w:rsidR="000C31F1" w:rsidRPr="00B8011B">
        <w:t>häufiger genutzt?</w:t>
      </w:r>
      <w:r w:rsidR="00B61064" w:rsidRPr="00B8011B">
        <w:t xml:space="preserve"> </w:t>
      </w:r>
      <w:r w:rsidR="004112F7" w:rsidRPr="00B8011B">
        <w:t xml:space="preserve">Grundsätzlich </w:t>
      </w:r>
      <w:r w:rsidR="007E1580" w:rsidRPr="00B8011B">
        <w:t>wird sich</w:t>
      </w:r>
      <w:r w:rsidR="00B61064" w:rsidRPr="00B8011B">
        <w:t xml:space="preserve"> i</w:t>
      </w:r>
      <w:r w:rsidR="00693024" w:rsidRPr="00B8011B">
        <w:t>n Zeiten</w:t>
      </w:r>
      <w:r w:rsidR="00DF4BE9" w:rsidRPr="00B8011B">
        <w:t xml:space="preserve"> </w:t>
      </w:r>
      <w:r w:rsidR="009E3118" w:rsidRPr="00B8011B">
        <w:t>von</w:t>
      </w:r>
      <w:r w:rsidR="00693024" w:rsidRPr="00B8011B">
        <w:t xml:space="preserve"> </w:t>
      </w:r>
      <w:r w:rsidR="007E1580" w:rsidRPr="00B8011B">
        <w:t>Online-</w:t>
      </w:r>
      <w:r w:rsidR="00693024" w:rsidRPr="00B8011B">
        <w:t>Sprechstunde</w:t>
      </w:r>
      <w:r w:rsidR="009E3118" w:rsidRPr="00B8011B">
        <w:t xml:space="preserve">, Telemedizin und elektronischem Rezept </w:t>
      </w:r>
      <w:r w:rsidR="00693024" w:rsidRPr="00B8011B">
        <w:t>der</w:t>
      </w:r>
      <w:r w:rsidR="00DF4BE9" w:rsidRPr="00B8011B">
        <w:t xml:space="preserve"> </w:t>
      </w:r>
      <w:r w:rsidR="00AD5EDC" w:rsidRPr="00B8011B">
        <w:t>V</w:t>
      </w:r>
      <w:r w:rsidR="00693024" w:rsidRPr="00B8011B">
        <w:t>ersand</w:t>
      </w:r>
      <w:r w:rsidR="009E3118" w:rsidRPr="00B8011B">
        <w:t>handel</w:t>
      </w:r>
      <w:r w:rsidR="00693024" w:rsidRPr="00B8011B">
        <w:t xml:space="preserve"> nicht auf</w:t>
      </w:r>
      <w:r w:rsidR="009E3118" w:rsidRPr="00B8011B">
        <w:t>halten lassen</w:t>
      </w:r>
      <w:r w:rsidR="00693024" w:rsidRPr="00B8011B">
        <w:t xml:space="preserve">. </w:t>
      </w:r>
      <w:r w:rsidR="009E3118" w:rsidRPr="00B8011B">
        <w:t xml:space="preserve">Aber gerade </w:t>
      </w:r>
      <w:r w:rsidR="007E1580" w:rsidRPr="00B8011B">
        <w:t xml:space="preserve">die jüngst eingeführten </w:t>
      </w:r>
      <w:r w:rsidR="007267D5" w:rsidRPr="00B8011B">
        <w:t xml:space="preserve">oder </w:t>
      </w:r>
      <w:r w:rsidR="007E1580" w:rsidRPr="00B8011B">
        <w:t>geplanten Bestellplattformkonzepte können ein wichtige</w:t>
      </w:r>
      <w:r w:rsidR="004112F7" w:rsidRPr="00B8011B">
        <w:t>r</w:t>
      </w:r>
      <w:r w:rsidR="007E1580" w:rsidRPr="00B8011B">
        <w:t xml:space="preserve"> Baustein </w:t>
      </w:r>
      <w:r w:rsidR="007F2758" w:rsidRPr="00B8011B">
        <w:t>sein</w:t>
      </w:r>
      <w:r w:rsidR="007E1580" w:rsidRPr="00B8011B">
        <w:t>, um</w:t>
      </w:r>
      <w:r w:rsidR="00557D60" w:rsidRPr="00B8011B">
        <w:t xml:space="preserve"> die Apotheke vor Ort mit zentralen </w:t>
      </w:r>
      <w:r w:rsidR="000F3964" w:rsidRPr="00B8011B">
        <w:t>Online-</w:t>
      </w:r>
      <w:r w:rsidR="00557D60" w:rsidRPr="00B8011B">
        <w:t>Lösungen zu stärken.</w:t>
      </w:r>
      <w:r w:rsidR="007E1580" w:rsidRPr="00B8011B">
        <w:t xml:space="preserve"> </w:t>
      </w:r>
      <w:r w:rsidR="00557D60" w:rsidRPr="00B8011B">
        <w:t>Doch d</w:t>
      </w:r>
      <w:r w:rsidR="007E1580" w:rsidRPr="00B8011B">
        <w:t>ie lokalen Kompetenzen</w:t>
      </w:r>
      <w:r w:rsidR="00AD5EDC" w:rsidRPr="00B8011B">
        <w:t xml:space="preserve"> wie </w:t>
      </w:r>
      <w:r w:rsidR="00693024" w:rsidRPr="00B8011B">
        <w:t>die fachliche</w:t>
      </w:r>
      <w:r w:rsidR="009E3118" w:rsidRPr="00B8011B">
        <w:t>,</w:t>
      </w:r>
      <w:r w:rsidR="00693024" w:rsidRPr="00B8011B">
        <w:t xml:space="preserve"> individuelle Beratung, der direkte empathische Austausch </w:t>
      </w:r>
      <w:r w:rsidR="009E3118" w:rsidRPr="00B8011B">
        <w:t>und</w:t>
      </w:r>
      <w:r w:rsidR="00693024" w:rsidRPr="00B8011B">
        <w:t xml:space="preserve"> die spontane Hilfes</w:t>
      </w:r>
      <w:r w:rsidR="00B61064" w:rsidRPr="00B8011B">
        <w:t xml:space="preserve">tellung </w:t>
      </w:r>
      <w:r w:rsidR="00AD5EDC" w:rsidRPr="00B8011B">
        <w:t xml:space="preserve">bleiben </w:t>
      </w:r>
      <w:r w:rsidR="00B61064" w:rsidRPr="00B8011B">
        <w:t>weiterhin</w:t>
      </w:r>
      <w:r w:rsidR="00557D60" w:rsidRPr="00B8011B">
        <w:t xml:space="preserve"> die</w:t>
      </w:r>
      <w:r w:rsidR="00B61064" w:rsidRPr="00B8011B">
        <w:t xml:space="preserve"> </w:t>
      </w:r>
      <w:r w:rsidR="00A153CC" w:rsidRPr="00B8011B">
        <w:t xml:space="preserve">Alleinstellungsmerkmale der </w:t>
      </w:r>
      <w:r w:rsidR="00B61064" w:rsidRPr="00B8011B">
        <w:t>Apotheker</w:t>
      </w:r>
      <w:r w:rsidR="00557D60" w:rsidRPr="00B8011B">
        <w:t xml:space="preserve">. Und gerade in diesem Servicebereich liegen </w:t>
      </w:r>
      <w:r w:rsidR="00A111E8" w:rsidRPr="00B8011B">
        <w:t xml:space="preserve">die </w:t>
      </w:r>
      <w:r w:rsidR="00557D60" w:rsidRPr="00B8011B">
        <w:t xml:space="preserve">Stärke und das Zukunftspotenzial der </w:t>
      </w:r>
      <w:proofErr w:type="spellStart"/>
      <w:r w:rsidR="00557D60" w:rsidRPr="00B8011B">
        <w:t>Apothekerschaft</w:t>
      </w:r>
      <w:proofErr w:type="spellEnd"/>
      <w:r w:rsidR="00557D60" w:rsidRPr="00B8011B">
        <w:t>.</w:t>
      </w:r>
    </w:p>
    <w:p w14:paraId="045C9069" w14:textId="77777777" w:rsidR="00D86FEE" w:rsidRPr="003E0F0D" w:rsidRDefault="003E0F0D" w:rsidP="007F7837">
      <w:pPr>
        <w:tabs>
          <w:tab w:val="left" w:pos="8789"/>
        </w:tabs>
        <w:spacing w:after="160" w:line="276" w:lineRule="auto"/>
        <w:ind w:right="708"/>
        <w:rPr>
          <w:rFonts w:cs="Arial"/>
          <w:b/>
          <w:color w:val="000000"/>
        </w:rPr>
      </w:pPr>
      <w:r w:rsidRPr="005C5B3C">
        <w:rPr>
          <w:rFonts w:cs="Arial"/>
          <w:b/>
          <w:color w:val="000000"/>
        </w:rPr>
        <w:t>Junge Apotheker trauen sich</w:t>
      </w:r>
    </w:p>
    <w:p w14:paraId="60FB5C68" w14:textId="76F52451" w:rsidR="00C6566E" w:rsidRPr="00E26551" w:rsidRDefault="007644B4" w:rsidP="00E26551">
      <w:pPr>
        <w:tabs>
          <w:tab w:val="left" w:pos="8789"/>
        </w:tabs>
        <w:spacing w:after="160" w:line="276" w:lineRule="auto"/>
        <w:ind w:right="708"/>
      </w:pPr>
      <w:r>
        <w:rPr>
          <w:rFonts w:cs="Arial"/>
          <w:color w:val="000000"/>
        </w:rPr>
        <w:t xml:space="preserve">Die jüngste </w:t>
      </w:r>
      <w:proofErr w:type="spellStart"/>
      <w:r>
        <w:rPr>
          <w:rFonts w:cs="Arial"/>
          <w:color w:val="000000"/>
        </w:rPr>
        <w:t>apoBank</w:t>
      </w:r>
      <w:proofErr w:type="spellEnd"/>
      <w:r>
        <w:rPr>
          <w:rFonts w:cs="Arial"/>
          <w:color w:val="000000"/>
        </w:rPr>
        <w:t xml:space="preserve">-Analyse zu den Apothekengründungen zeigt, dass der Anteil der jüngeren Gründer stark gestiegen ist. Es </w:t>
      </w:r>
      <w:r w:rsidR="00FC7DD9">
        <w:rPr>
          <w:rFonts w:cs="Arial"/>
          <w:color w:val="000000"/>
        </w:rPr>
        <w:t xml:space="preserve">stimmt sehr zuversichtlich, dass </w:t>
      </w:r>
      <w:r w:rsidR="000F3964">
        <w:rPr>
          <w:rFonts w:cs="Arial"/>
          <w:color w:val="000000"/>
        </w:rPr>
        <w:t xml:space="preserve">es </w:t>
      </w:r>
      <w:r>
        <w:rPr>
          <w:rFonts w:cs="Arial"/>
          <w:color w:val="000000"/>
        </w:rPr>
        <w:t>trotz al</w:t>
      </w:r>
      <w:r w:rsidR="000F3964">
        <w:rPr>
          <w:rFonts w:cs="Arial"/>
          <w:color w:val="000000"/>
        </w:rPr>
        <w:t xml:space="preserve">ler Unsicherheiten </w:t>
      </w:r>
      <w:r w:rsidR="007F7837">
        <w:t xml:space="preserve">nach wie vor zahlreiche junge </w:t>
      </w:r>
      <w:r w:rsidR="00A111E8">
        <w:t xml:space="preserve">Pharmazeuten </w:t>
      </w:r>
      <w:r w:rsidR="00FC7DD9">
        <w:rPr>
          <w:rFonts w:cs="Arial"/>
          <w:color w:val="000000"/>
        </w:rPr>
        <w:t>gibt</w:t>
      </w:r>
      <w:r w:rsidR="007F7837">
        <w:t xml:space="preserve">, für die mit der Niederlassung in der eigenen Apotheke ein Lebenstraum in Erfüllung geht. </w:t>
      </w:r>
      <w:r w:rsidR="005F7730">
        <w:t>Und in der Regel ist das auch finanziell schon nach kurzer Zeit ein lohnendes Unterfangen: Unsere</w:t>
      </w:r>
      <w:r w:rsidR="007F7837">
        <w:t xml:space="preserve"> Auswertungen belegen, dass </w:t>
      </w:r>
      <w:r w:rsidR="005F7730">
        <w:t xml:space="preserve">die </w:t>
      </w:r>
      <w:r w:rsidR="007F7837" w:rsidRPr="00EC63DD">
        <w:t>Existenzgründer</w:t>
      </w:r>
      <w:r w:rsidR="005F7730">
        <w:t xml:space="preserve"> </w:t>
      </w:r>
      <w:r w:rsidR="007F7837" w:rsidRPr="00EC63DD">
        <w:t xml:space="preserve">bereits </w:t>
      </w:r>
      <w:r w:rsidR="007A5FDC">
        <w:t>im ersten Jahr</w:t>
      </w:r>
      <w:r w:rsidR="004522AB">
        <w:t xml:space="preserve"> </w:t>
      </w:r>
      <w:r w:rsidR="007F7837" w:rsidRPr="00EC63DD">
        <w:t>einen Umsatz</w:t>
      </w:r>
      <w:r w:rsidR="005F7730">
        <w:t xml:space="preserve"> erzielen</w:t>
      </w:r>
      <w:r w:rsidR="007F7837">
        <w:t xml:space="preserve">, der in etwa dem Durchschnitt der gesamten </w:t>
      </w:r>
      <w:proofErr w:type="spellStart"/>
      <w:r w:rsidR="007F7837">
        <w:t>Apothekerschaf</w:t>
      </w:r>
      <w:r w:rsidR="005F7730">
        <w:t>t</w:t>
      </w:r>
      <w:proofErr w:type="spellEnd"/>
      <w:r w:rsidR="005F7730">
        <w:t xml:space="preserve"> entspricht. </w:t>
      </w:r>
      <w:r w:rsidR="00C6566E">
        <w:t xml:space="preserve">Auch </w:t>
      </w:r>
      <w:r w:rsidR="007F7837">
        <w:t xml:space="preserve">das durchschnittlich erzielte Betriebsergebnis von </w:t>
      </w:r>
      <w:r w:rsidR="00C6566E">
        <w:t xml:space="preserve">rund </w:t>
      </w:r>
      <w:r w:rsidR="007F7837">
        <w:t>1</w:t>
      </w:r>
      <w:r w:rsidR="007F7837" w:rsidRPr="00EC63DD">
        <w:t>5</w:t>
      </w:r>
      <w:r w:rsidR="007F7837">
        <w:t>0</w:t>
      </w:r>
      <w:r w:rsidR="005F7730">
        <w:t>.000 Euro</w:t>
      </w:r>
      <w:r w:rsidR="007F7837" w:rsidRPr="00EC63DD">
        <w:t xml:space="preserve"> </w:t>
      </w:r>
      <w:r w:rsidR="007F7837">
        <w:t>kann si</w:t>
      </w:r>
      <w:r w:rsidR="005F7730">
        <w:t>ch durchaus sehen lassen, denn es</w:t>
      </w:r>
      <w:r w:rsidR="007F7837">
        <w:t xml:space="preserve"> </w:t>
      </w:r>
      <w:r w:rsidR="005F7730">
        <w:t>erreicht</w:t>
      </w:r>
      <w:r w:rsidR="007F7837">
        <w:t xml:space="preserve"> </w:t>
      </w:r>
      <w:r w:rsidR="007267D5">
        <w:t xml:space="preserve">nach so kurzer Zeit </w:t>
      </w:r>
      <w:r w:rsidR="005F7730">
        <w:t xml:space="preserve">bereits </w:t>
      </w:r>
      <w:r w:rsidR="007F7837">
        <w:t xml:space="preserve">etwa </w:t>
      </w:r>
      <w:r w:rsidR="007F7837" w:rsidRPr="00EC63DD">
        <w:t xml:space="preserve">95 Prozent des </w:t>
      </w:r>
      <w:r w:rsidR="005F7730">
        <w:t xml:space="preserve">Ergebnisses </w:t>
      </w:r>
      <w:r w:rsidR="007F7837" w:rsidRPr="00EC63DD">
        <w:t>aller ausgewerteten Apotheken.</w:t>
      </w:r>
      <w:r w:rsidR="001E3560">
        <w:t xml:space="preserve"> </w:t>
      </w:r>
      <w:r w:rsidR="000F3964">
        <w:t>Um eine solche</w:t>
      </w:r>
      <w:r w:rsidR="001E3560">
        <w:t xml:space="preserve"> Benchmark zu erreichen</w:t>
      </w:r>
      <w:r w:rsidR="000F3964">
        <w:t>,</w:t>
      </w:r>
      <w:r w:rsidR="001E3560">
        <w:t xml:space="preserve"> ist </w:t>
      </w:r>
      <w:r w:rsidR="000F3964">
        <w:t>es von Vorteil</w:t>
      </w:r>
      <w:r w:rsidR="004522AB">
        <w:t xml:space="preserve">, wenn der pharmazeutische Nachwuchs auf </w:t>
      </w:r>
      <w:r w:rsidR="004522AB" w:rsidRPr="00EC63DD">
        <w:t xml:space="preserve">vorhandene </w:t>
      </w:r>
      <w:r w:rsidR="004522AB">
        <w:t xml:space="preserve">solide </w:t>
      </w:r>
      <w:r w:rsidR="004522AB" w:rsidRPr="00EC63DD">
        <w:t>Strukturen aufbauen kann.</w:t>
      </w:r>
    </w:p>
    <w:p w14:paraId="2E1DAF9E" w14:textId="77777777" w:rsidR="00706E79" w:rsidRDefault="00706E7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614DB9F" w14:textId="2589AF7A" w:rsidR="005F7730" w:rsidRPr="003126F4" w:rsidRDefault="005F7730" w:rsidP="007F7837">
      <w:pPr>
        <w:rPr>
          <w:b/>
        </w:rPr>
      </w:pPr>
      <w:r w:rsidRPr="003126F4">
        <w:rPr>
          <w:b/>
        </w:rPr>
        <w:lastRenderedPageBreak/>
        <w:t xml:space="preserve">Apotheken </w:t>
      </w:r>
      <w:r w:rsidR="003126F4" w:rsidRPr="003126F4">
        <w:rPr>
          <w:b/>
        </w:rPr>
        <w:t>gut in Schuss halten</w:t>
      </w:r>
    </w:p>
    <w:p w14:paraId="093A3470" w14:textId="77777777" w:rsidR="003126F4" w:rsidRDefault="003126F4" w:rsidP="007F7837"/>
    <w:p w14:paraId="18FA5FB7" w14:textId="6FBBBE3C" w:rsidR="00663B71" w:rsidRDefault="00376077" w:rsidP="00BA1607">
      <w:pPr>
        <w:tabs>
          <w:tab w:val="left" w:pos="8789"/>
        </w:tabs>
        <w:spacing w:after="160" w:line="276" w:lineRule="auto"/>
        <w:ind w:right="708"/>
      </w:pPr>
      <w:r>
        <w:t xml:space="preserve">Die </w:t>
      </w:r>
      <w:r w:rsidR="000A33B8">
        <w:t xml:space="preserve">Formel für die Nachfolgersuche ist </w:t>
      </w:r>
      <w:r w:rsidR="00472F70">
        <w:t>also</w:t>
      </w:r>
      <w:r>
        <w:t xml:space="preserve">: </w:t>
      </w:r>
      <w:r w:rsidR="001E3560">
        <w:t>J</w:t>
      </w:r>
      <w:r w:rsidR="003126F4">
        <w:t xml:space="preserve">e </w:t>
      </w:r>
      <w:r w:rsidR="00472F70">
        <w:t>attraktiver</w:t>
      </w:r>
      <w:r>
        <w:t xml:space="preserve"> </w:t>
      </w:r>
      <w:r w:rsidR="00FB0BA2">
        <w:t>die Ausgangssituation</w:t>
      </w:r>
      <w:r w:rsidR="004522AB">
        <w:t xml:space="preserve"> </w:t>
      </w:r>
      <w:r>
        <w:t>für den Gründer</w:t>
      </w:r>
      <w:r w:rsidR="00FB0BA2">
        <w:t xml:space="preserve">, desto besser die Aussichten auf </w:t>
      </w:r>
      <w:r w:rsidR="00C260FE">
        <w:t>eine</w:t>
      </w:r>
      <w:r>
        <w:t xml:space="preserve"> </w:t>
      </w:r>
      <w:r w:rsidR="00FB0BA2">
        <w:t>erfolgreiche</w:t>
      </w:r>
      <w:r>
        <w:t xml:space="preserve"> </w:t>
      </w:r>
      <w:r w:rsidR="00DA47E4">
        <w:t>Ab</w:t>
      </w:r>
      <w:r w:rsidR="000A33B8">
        <w:t>gabe</w:t>
      </w:r>
      <w:r w:rsidR="00FB0BA2">
        <w:t xml:space="preserve">. </w:t>
      </w:r>
      <w:r w:rsidR="003126F4">
        <w:t xml:space="preserve">Deshalb </w:t>
      </w:r>
      <w:r w:rsidR="00151223">
        <w:t xml:space="preserve">werden </w:t>
      </w:r>
      <w:r w:rsidR="00C260FE">
        <w:t xml:space="preserve">im Regelfall </w:t>
      </w:r>
      <w:r w:rsidR="00151223">
        <w:t>Apotheken, die</w:t>
      </w:r>
      <w:r w:rsidR="003126F4">
        <w:t xml:space="preserve"> keine</w:t>
      </w:r>
      <w:r w:rsidR="00C6566E">
        <w:t>n</w:t>
      </w:r>
      <w:r w:rsidR="003126F4">
        <w:t xml:space="preserve"> Investi</w:t>
      </w:r>
      <w:r w:rsidR="00C6566E">
        <w:t>ti</w:t>
      </w:r>
      <w:r w:rsidR="003126F4">
        <w:t>onsstau</w:t>
      </w:r>
      <w:r w:rsidR="00FB0BA2">
        <w:t xml:space="preserve"> </w:t>
      </w:r>
      <w:r w:rsidR="00151223">
        <w:t xml:space="preserve">aufweisen, </w:t>
      </w:r>
      <w:r w:rsidR="000A33B8">
        <w:t xml:space="preserve">auf dem neuesten technologischen Stand sind und in der örtlichen Gesundheitsstruktur gut vernetzt sind, </w:t>
      </w:r>
      <w:r w:rsidR="00151223">
        <w:t>zum Zeitpunkt der Übergabe klar im Vorteil sein</w:t>
      </w:r>
      <w:r w:rsidR="00A41C30">
        <w:t xml:space="preserve">. Und </w:t>
      </w:r>
      <w:r w:rsidR="00DA47E4">
        <w:t>weil</w:t>
      </w:r>
      <w:r w:rsidR="000A33B8">
        <w:t xml:space="preserve"> </w:t>
      </w:r>
      <w:r w:rsidR="00A41C30">
        <w:t>das Angebot an Apotheken wächst</w:t>
      </w:r>
      <w:r w:rsidR="00DA47E4">
        <w:t xml:space="preserve"> </w:t>
      </w:r>
      <w:r w:rsidR="000C31F1">
        <w:t>–</w:t>
      </w:r>
      <w:r w:rsidR="003126F4" w:rsidRPr="00D56415">
        <w:t xml:space="preserve"> </w:t>
      </w:r>
      <w:r w:rsidR="000C31F1" w:rsidRPr="000C31F1">
        <w:t>in den nächsten Jahre</w:t>
      </w:r>
      <w:r w:rsidR="000C31F1">
        <w:t>n</w:t>
      </w:r>
      <w:r w:rsidR="000C31F1" w:rsidRPr="000C31F1">
        <w:t xml:space="preserve"> wird </w:t>
      </w:r>
      <w:r w:rsidR="000C31F1">
        <w:t>etwa</w:t>
      </w:r>
      <w:r w:rsidR="003126F4" w:rsidRPr="000C31F1">
        <w:t xml:space="preserve"> </w:t>
      </w:r>
      <w:r w:rsidR="000C31F1" w:rsidRPr="000C31F1">
        <w:t xml:space="preserve">ein Drittel der </w:t>
      </w:r>
      <w:r w:rsidR="003126F4" w:rsidRPr="000C31F1">
        <w:t>Apothekeninhaber im Rentenalter</w:t>
      </w:r>
      <w:r w:rsidR="003126F4" w:rsidRPr="00D56415">
        <w:t xml:space="preserve"> sein</w:t>
      </w:r>
      <w:r w:rsidR="00DA47E4">
        <w:t xml:space="preserve"> - </w:t>
      </w:r>
      <w:r w:rsidR="00A41C30">
        <w:t xml:space="preserve">ist es </w:t>
      </w:r>
      <w:r w:rsidR="00C6566E">
        <w:t>ratsam</w:t>
      </w:r>
      <w:r w:rsidR="00A41C30">
        <w:t>, die Abgabe rechtzei</w:t>
      </w:r>
      <w:r w:rsidR="00663B71">
        <w:t>tig vorzubereiten</w:t>
      </w:r>
      <w:r w:rsidR="00900D80">
        <w:t>.</w:t>
      </w:r>
      <w:r w:rsidR="00663B71">
        <w:t xml:space="preserve"> </w:t>
      </w:r>
      <w:r w:rsidR="00900D80">
        <w:t>Bis es soweit ist, sollte</w:t>
      </w:r>
      <w:r w:rsidR="00663B71">
        <w:t xml:space="preserve"> </w:t>
      </w:r>
      <w:r w:rsidR="00BA1607">
        <w:t xml:space="preserve">die Apotheke </w:t>
      </w:r>
      <w:r w:rsidR="00663B71">
        <w:t xml:space="preserve">immer </w:t>
      </w:r>
      <w:r w:rsidR="00BA1607">
        <w:t xml:space="preserve">gut in Schuss </w:t>
      </w:r>
      <w:r w:rsidR="00900D80">
        <w:t>ge</w:t>
      </w:r>
      <w:r w:rsidR="00BA1607">
        <w:t>halten</w:t>
      </w:r>
      <w:r w:rsidR="00900D80">
        <w:t xml:space="preserve"> werden</w:t>
      </w:r>
      <w:r w:rsidR="0003068D">
        <w:t xml:space="preserve"> - </w:t>
      </w:r>
      <w:r w:rsidR="004A0D5B">
        <w:t>d</w:t>
      </w:r>
      <w:r w:rsidR="00BA1607">
        <w:t>as heißt</w:t>
      </w:r>
      <w:r w:rsidR="0003068D">
        <w:t>,</w:t>
      </w:r>
      <w:r w:rsidR="004A0D5B">
        <w:t xml:space="preserve"> </w:t>
      </w:r>
      <w:r w:rsidR="00BA1607">
        <w:t>immer wieder hinterfragen</w:t>
      </w:r>
      <w:r w:rsidR="00663B71">
        <w:t xml:space="preserve">: Was macht meine Apotheke </w:t>
      </w:r>
      <w:r w:rsidR="00BA1607">
        <w:t>besonders</w:t>
      </w:r>
      <w:r w:rsidR="00663B71">
        <w:t>? Bin ich der Gesundheitsplayer vor Ort</w:t>
      </w:r>
      <w:r w:rsidR="00DA47E4">
        <w:t xml:space="preserve">? Gibt es Kooperationen, beispielsweise mit Pflegeheimen? </w:t>
      </w:r>
      <w:r w:rsidR="00663B71">
        <w:t xml:space="preserve">Wurde laufend investiert? </w:t>
      </w:r>
      <w:r w:rsidR="00900D80">
        <w:t xml:space="preserve">Welche speziellen Dienstleistungen biete ich an? </w:t>
      </w:r>
      <w:r w:rsidR="007A5FDC">
        <w:t>Gibt es eine Digitalisierungsstrategie?</w:t>
      </w:r>
      <w:r w:rsidR="00DA47E4">
        <w:t xml:space="preserve"> </w:t>
      </w:r>
      <w:r w:rsidR="00DA47E4">
        <w:rPr>
          <w:rFonts w:cs="CorporateS-Light"/>
        </w:rPr>
        <w:t>Es gilt also mehr denn je: Bereitschaft und Mut zur Veränderung sind elementar, um auf neue Anforderungen mit neuen Ideen und Lösungen zu reagieren und mit der Zeit zu</w:t>
      </w:r>
      <w:r w:rsidR="00A111E8">
        <w:rPr>
          <w:rFonts w:cs="CorporateS-Light"/>
        </w:rPr>
        <w:t xml:space="preserve"> </w:t>
      </w:r>
      <w:r w:rsidR="00DA47E4">
        <w:rPr>
          <w:rFonts w:cs="CorporateS-Light"/>
        </w:rPr>
        <w:t>gehen</w:t>
      </w:r>
      <w:r w:rsidR="00DA47E4" w:rsidRPr="00CD034C">
        <w:rPr>
          <w:rFonts w:cs="CorporateS-Light"/>
        </w:rPr>
        <w:t>.</w:t>
      </w:r>
    </w:p>
    <w:p w14:paraId="5836BDB4" w14:textId="77777777" w:rsidR="007F7837" w:rsidRDefault="007F7837" w:rsidP="00BA1607">
      <w:pPr>
        <w:tabs>
          <w:tab w:val="left" w:pos="8789"/>
        </w:tabs>
        <w:spacing w:after="160" w:line="276" w:lineRule="auto"/>
        <w:ind w:right="708"/>
      </w:pPr>
    </w:p>
    <w:p w14:paraId="47189482" w14:textId="460CA9EB" w:rsidR="00A41C30" w:rsidRPr="00E26551" w:rsidRDefault="00BA1607" w:rsidP="007F7837">
      <w:pPr>
        <w:rPr>
          <w:i/>
        </w:rPr>
      </w:pPr>
      <w:r w:rsidRPr="00E26551">
        <w:rPr>
          <w:i/>
        </w:rPr>
        <w:t>Die Deutsche Apotheker- und Ärztebank bietet Apotheker</w:t>
      </w:r>
      <w:r w:rsidR="004A0D5B" w:rsidRPr="00E26551">
        <w:rPr>
          <w:i/>
        </w:rPr>
        <w:t>n B</w:t>
      </w:r>
      <w:r w:rsidRPr="00E26551">
        <w:rPr>
          <w:i/>
        </w:rPr>
        <w:t xml:space="preserve">eratung </w:t>
      </w:r>
      <w:r w:rsidR="00E26551" w:rsidRPr="00E26551">
        <w:rPr>
          <w:i/>
        </w:rPr>
        <w:t>und</w:t>
      </w:r>
      <w:r w:rsidR="004A0D5B" w:rsidRPr="00E26551">
        <w:rPr>
          <w:i/>
        </w:rPr>
        <w:t xml:space="preserve"> </w:t>
      </w:r>
      <w:r w:rsidRPr="00E26551">
        <w:rPr>
          <w:i/>
        </w:rPr>
        <w:t>Unterstützung bei Nachfolgeplanung und bei Vorbereitung der Apothekenabgabe:</w:t>
      </w:r>
      <w:r w:rsidR="00E26551">
        <w:rPr>
          <w:i/>
        </w:rPr>
        <w:br/>
      </w:r>
      <w:hyperlink r:id="rId8" w:history="1">
        <w:r w:rsidR="00E26551" w:rsidRPr="00E26551">
          <w:rPr>
            <w:rFonts w:eastAsiaTheme="minorHAnsi" w:cs="Helv"/>
            <w:i/>
            <w:color w:val="0000FF"/>
            <w:lang w:eastAsia="en-US"/>
          </w:rPr>
          <w:t>www.apobank.de/apotheke_verkaufen.html</w:t>
        </w:r>
      </w:hyperlink>
    </w:p>
    <w:p w14:paraId="15060B35" w14:textId="77777777" w:rsidR="00AA1DA3" w:rsidRDefault="00AA1DA3"/>
    <w:sectPr w:rsidR="00AA1DA3" w:rsidSect="00182702">
      <w:headerReference w:type="default" r:id="rId9"/>
      <w:headerReference w:type="first" r:id="rId10"/>
      <w:pgSz w:w="11907" w:h="16840" w:code="9"/>
      <w:pgMar w:top="2058" w:right="708" w:bottom="567" w:left="1701" w:header="567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D78DE" w14:textId="77777777" w:rsidR="00516BA9" w:rsidRDefault="00516BA9" w:rsidP="00182702">
      <w:r>
        <w:separator/>
      </w:r>
    </w:p>
  </w:endnote>
  <w:endnote w:type="continuationSeparator" w:id="0">
    <w:p w14:paraId="1C83C5EE" w14:textId="77777777" w:rsidR="00516BA9" w:rsidRDefault="00516BA9" w:rsidP="0018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e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2CC89" w14:textId="77777777" w:rsidR="00516BA9" w:rsidRDefault="00516BA9" w:rsidP="00182702">
      <w:r>
        <w:separator/>
      </w:r>
    </w:p>
  </w:footnote>
  <w:footnote w:type="continuationSeparator" w:id="0">
    <w:p w14:paraId="708DFB8F" w14:textId="77777777" w:rsidR="00516BA9" w:rsidRDefault="00516BA9" w:rsidP="0018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2F2FA" w14:textId="77777777" w:rsidR="00B97763" w:rsidRDefault="00697B16" w:rsidP="00DD616D">
    <w:pPr>
      <w:rPr>
        <w:color w:val="8C91A0"/>
        <w:sz w:val="20"/>
      </w:rPr>
    </w:pPr>
  </w:p>
  <w:p w14:paraId="51805662" w14:textId="77777777" w:rsidR="00B97763" w:rsidRPr="00D3738A" w:rsidRDefault="00697B16" w:rsidP="00DD616D">
    <w:pPr>
      <w:rPr>
        <w:color w:val="8C91A0"/>
        <w:sz w:val="20"/>
      </w:rPr>
    </w:pPr>
  </w:p>
  <w:p w14:paraId="437EC737" w14:textId="77777777" w:rsidR="00B97763" w:rsidRDefault="00697B16" w:rsidP="00DD616D">
    <w:pPr>
      <w:rPr>
        <w:color w:val="8C91A0"/>
        <w:sz w:val="20"/>
      </w:rPr>
    </w:pPr>
  </w:p>
  <w:p w14:paraId="71AD6C1C" w14:textId="1F6FAB16" w:rsidR="00B97763" w:rsidRDefault="004B7E4B" w:rsidP="00DD616D">
    <w:pPr>
      <w:ind w:right="-1"/>
      <w:rPr>
        <w:sz w:val="18"/>
        <w:szCs w:val="18"/>
      </w:rPr>
    </w:pPr>
    <w:r>
      <w:rPr>
        <w:color w:val="808080"/>
        <w:sz w:val="24"/>
        <w:szCs w:val="24"/>
      </w:rPr>
      <w:tab/>
    </w:r>
    <w:r>
      <w:rPr>
        <w:color w:val="808080"/>
        <w:sz w:val="24"/>
        <w:szCs w:val="24"/>
      </w:rPr>
      <w:tab/>
    </w:r>
    <w:r>
      <w:rPr>
        <w:color w:val="808080"/>
        <w:sz w:val="24"/>
        <w:szCs w:val="24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  <w:p w14:paraId="251953ED" w14:textId="77777777" w:rsidR="00B97763" w:rsidRDefault="00697B16" w:rsidP="00DD616D">
    <w:pPr>
      <w:ind w:right="-1"/>
      <w:rPr>
        <w:sz w:val="18"/>
        <w:szCs w:val="18"/>
      </w:rPr>
    </w:pPr>
  </w:p>
  <w:p w14:paraId="57B57859" w14:textId="77777777" w:rsidR="00B97763" w:rsidRPr="00EE7EE5" w:rsidRDefault="004B7E4B" w:rsidP="00EE7EE5">
    <w:pPr>
      <w:ind w:right="-1"/>
      <w:rPr>
        <w:color w:val="595959"/>
      </w:rPr>
    </w:pPr>
    <w:r w:rsidRPr="00EE7EE5">
      <w:rPr>
        <w:color w:val="595959"/>
      </w:rPr>
      <w:t xml:space="preserve">Seite </w:t>
    </w:r>
    <w:r w:rsidRPr="00EE7EE5">
      <w:rPr>
        <w:color w:val="595959"/>
      </w:rPr>
      <w:fldChar w:fldCharType="begin"/>
    </w:r>
    <w:r w:rsidRPr="00EE7EE5">
      <w:rPr>
        <w:color w:val="595959"/>
      </w:rPr>
      <w:instrText xml:space="preserve"> PAGE </w:instrText>
    </w:r>
    <w:r w:rsidRPr="00EE7EE5">
      <w:rPr>
        <w:color w:val="595959"/>
      </w:rPr>
      <w:fldChar w:fldCharType="separate"/>
    </w:r>
    <w:r w:rsidR="00697B16">
      <w:rPr>
        <w:noProof/>
        <w:color w:val="595959"/>
      </w:rPr>
      <w:t>2</w:t>
    </w:r>
    <w:r w:rsidRPr="00EE7EE5">
      <w:rPr>
        <w:color w:val="595959"/>
      </w:rPr>
      <w:fldChar w:fldCharType="end"/>
    </w:r>
    <w:r w:rsidRPr="00EE7EE5">
      <w:rPr>
        <w:color w:val="595959"/>
      </w:rPr>
      <w:t xml:space="preserve"> von </w:t>
    </w:r>
    <w:r w:rsidRPr="00EE7EE5">
      <w:rPr>
        <w:color w:val="595959"/>
      </w:rPr>
      <w:fldChar w:fldCharType="begin"/>
    </w:r>
    <w:r w:rsidRPr="00EE7EE5">
      <w:rPr>
        <w:color w:val="595959"/>
      </w:rPr>
      <w:instrText xml:space="preserve"> NUMPAGES </w:instrText>
    </w:r>
    <w:r w:rsidRPr="00EE7EE5">
      <w:rPr>
        <w:color w:val="595959"/>
      </w:rPr>
      <w:fldChar w:fldCharType="separate"/>
    </w:r>
    <w:r w:rsidR="00697B16">
      <w:rPr>
        <w:noProof/>
        <w:color w:val="595959"/>
      </w:rPr>
      <w:t>2</w:t>
    </w:r>
    <w:r w:rsidRPr="00EE7EE5">
      <w:rPr>
        <w:color w:val="595959"/>
      </w:rPr>
      <w:fldChar w:fldCharType="end"/>
    </w:r>
  </w:p>
  <w:p w14:paraId="67D6D295" w14:textId="77777777" w:rsidR="00B97763" w:rsidRPr="00D230BD" w:rsidRDefault="00697B16" w:rsidP="00DD616D">
    <w:pPr>
      <w:ind w:right="-1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CA4D8" w14:textId="77777777" w:rsidR="009F3584" w:rsidRDefault="009F3584" w:rsidP="0089089C">
    <w:pPr>
      <w:ind w:right="-1"/>
      <w:rPr>
        <w:color w:val="595959"/>
      </w:rPr>
    </w:pPr>
    <w:r>
      <w:rPr>
        <w:color w:val="595959"/>
      </w:rPr>
      <w:t>Blog</w:t>
    </w:r>
  </w:p>
  <w:p w14:paraId="044FB23A" w14:textId="03779F20" w:rsidR="00B97763" w:rsidRPr="00182702" w:rsidRDefault="0089089C" w:rsidP="009F3584">
    <w:pPr>
      <w:ind w:right="-1"/>
      <w:jc w:val="right"/>
      <w:rPr>
        <w:color w:val="595959"/>
        <w:sz w:val="24"/>
        <w:szCs w:val="24"/>
      </w:rPr>
    </w:pPr>
    <w:r>
      <w:rPr>
        <w:color w:val="595959"/>
      </w:rPr>
      <w:tab/>
    </w:r>
    <w:r>
      <w:rPr>
        <w:color w:val="595959"/>
      </w:rPr>
      <w:tab/>
    </w:r>
    <w:r>
      <w:rPr>
        <w:color w:val="595959"/>
      </w:rPr>
      <w:tab/>
    </w:r>
    <w:r>
      <w:rPr>
        <w:color w:val="595959"/>
      </w:rPr>
      <w:tab/>
    </w:r>
    <w:r>
      <w:rPr>
        <w:color w:val="595959"/>
      </w:rPr>
      <w:tab/>
    </w:r>
    <w:r>
      <w:rPr>
        <w:color w:val="595959"/>
      </w:rPr>
      <w:tab/>
    </w:r>
    <w:r w:rsidR="00182702">
      <w:rPr>
        <w:color w:val="595959"/>
      </w:rPr>
      <w:tab/>
    </w:r>
    <w:r w:rsidR="004B7E4B">
      <w:rPr>
        <w:noProof/>
        <w:color w:val="595959"/>
        <w:sz w:val="18"/>
        <w:szCs w:val="18"/>
      </w:rPr>
      <w:drawing>
        <wp:inline distT="0" distB="0" distL="0" distR="0" wp14:anchorId="0EC4DF58" wp14:editId="31B8E279">
          <wp:extent cx="1868805" cy="445135"/>
          <wp:effectExtent l="0" t="0" r="0" b="0"/>
          <wp:docPr id="8" name="Bild 2" descr="apo_3CPM_h12_farbe_briefbogen_DI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apo_3CPM_h12_farbe_briefbogen_DI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1E9BC" w14:textId="47D3BD9C" w:rsidR="00B97763" w:rsidRPr="00834D66" w:rsidRDefault="00A42EAE" w:rsidP="002B0526">
    <w:pPr>
      <w:ind w:right="-1"/>
      <w:rPr>
        <w:color w:val="595959"/>
      </w:rPr>
    </w:pPr>
    <w:r>
      <w:rPr>
        <w:color w:val="595959"/>
      </w:rPr>
      <w:t>15</w:t>
    </w:r>
    <w:r w:rsidR="00B61064">
      <w:rPr>
        <w:color w:val="595959"/>
      </w:rPr>
      <w:t>. Jul</w:t>
    </w:r>
    <w:r w:rsidR="004B7E4B">
      <w:rPr>
        <w:color w:val="595959"/>
      </w:rPr>
      <w:t xml:space="preserve">i </w:t>
    </w:r>
    <w:r w:rsidR="004B7E4B" w:rsidRPr="00BF2A88">
      <w:rPr>
        <w:color w:val="595959"/>
      </w:rPr>
      <w:t>201</w:t>
    </w:r>
    <w:r w:rsidR="004B7E4B">
      <w:rPr>
        <w:color w:val="595959"/>
      </w:rPr>
      <w:t>9</w:t>
    </w:r>
  </w:p>
  <w:p w14:paraId="3590B584" w14:textId="77777777" w:rsidR="00B97763" w:rsidRDefault="00697B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F461D"/>
    <w:multiLevelType w:val="hybridMultilevel"/>
    <w:tmpl w:val="0CF8E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C1A0C"/>
    <w:multiLevelType w:val="hybridMultilevel"/>
    <w:tmpl w:val="B582B8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02"/>
    <w:rsid w:val="00020B49"/>
    <w:rsid w:val="0003068D"/>
    <w:rsid w:val="000411CA"/>
    <w:rsid w:val="0005617D"/>
    <w:rsid w:val="000A33B8"/>
    <w:rsid w:val="000C31F1"/>
    <w:rsid w:val="000F2527"/>
    <w:rsid w:val="000F3964"/>
    <w:rsid w:val="00151223"/>
    <w:rsid w:val="00182702"/>
    <w:rsid w:val="001B15AF"/>
    <w:rsid w:val="001B1FB5"/>
    <w:rsid w:val="001E3560"/>
    <w:rsid w:val="001E53EC"/>
    <w:rsid w:val="001F72AE"/>
    <w:rsid w:val="002065C4"/>
    <w:rsid w:val="00224A89"/>
    <w:rsid w:val="00256070"/>
    <w:rsid w:val="002565C1"/>
    <w:rsid w:val="00264315"/>
    <w:rsid w:val="00290DAA"/>
    <w:rsid w:val="002922A0"/>
    <w:rsid w:val="002A1D21"/>
    <w:rsid w:val="002C4416"/>
    <w:rsid w:val="002D1B16"/>
    <w:rsid w:val="002D2310"/>
    <w:rsid w:val="003126F4"/>
    <w:rsid w:val="00362C9A"/>
    <w:rsid w:val="00376077"/>
    <w:rsid w:val="003E0F0D"/>
    <w:rsid w:val="004112F7"/>
    <w:rsid w:val="004522AB"/>
    <w:rsid w:val="00453077"/>
    <w:rsid w:val="00457666"/>
    <w:rsid w:val="00472F70"/>
    <w:rsid w:val="00473CCC"/>
    <w:rsid w:val="0049065E"/>
    <w:rsid w:val="004A0D5B"/>
    <w:rsid w:val="004A758D"/>
    <w:rsid w:val="004B7E4B"/>
    <w:rsid w:val="004E7921"/>
    <w:rsid w:val="00507D39"/>
    <w:rsid w:val="00516BA9"/>
    <w:rsid w:val="00520EE0"/>
    <w:rsid w:val="00557D60"/>
    <w:rsid w:val="005613FD"/>
    <w:rsid w:val="00566DF7"/>
    <w:rsid w:val="005842DA"/>
    <w:rsid w:val="005C5B3C"/>
    <w:rsid w:val="005F7730"/>
    <w:rsid w:val="00635686"/>
    <w:rsid w:val="006532DD"/>
    <w:rsid w:val="00663B71"/>
    <w:rsid w:val="00693024"/>
    <w:rsid w:val="00697B16"/>
    <w:rsid w:val="00706E79"/>
    <w:rsid w:val="00710B84"/>
    <w:rsid w:val="007267D5"/>
    <w:rsid w:val="0074799E"/>
    <w:rsid w:val="007644B4"/>
    <w:rsid w:val="00776B0D"/>
    <w:rsid w:val="007A5FDC"/>
    <w:rsid w:val="007E1580"/>
    <w:rsid w:val="007F2758"/>
    <w:rsid w:val="007F7837"/>
    <w:rsid w:val="008325AC"/>
    <w:rsid w:val="0083535A"/>
    <w:rsid w:val="008359E6"/>
    <w:rsid w:val="0089089C"/>
    <w:rsid w:val="00900D80"/>
    <w:rsid w:val="009064BF"/>
    <w:rsid w:val="009537BA"/>
    <w:rsid w:val="00991276"/>
    <w:rsid w:val="009E3118"/>
    <w:rsid w:val="009F14D9"/>
    <w:rsid w:val="009F3584"/>
    <w:rsid w:val="00A06B55"/>
    <w:rsid w:val="00A111E8"/>
    <w:rsid w:val="00A153CC"/>
    <w:rsid w:val="00A41C30"/>
    <w:rsid w:val="00A42EAE"/>
    <w:rsid w:val="00AA1DA3"/>
    <w:rsid w:val="00AB459B"/>
    <w:rsid w:val="00AD5EDC"/>
    <w:rsid w:val="00B14B05"/>
    <w:rsid w:val="00B43AF5"/>
    <w:rsid w:val="00B61064"/>
    <w:rsid w:val="00B8011B"/>
    <w:rsid w:val="00BA1607"/>
    <w:rsid w:val="00BD0561"/>
    <w:rsid w:val="00BD3A40"/>
    <w:rsid w:val="00C260FE"/>
    <w:rsid w:val="00C6566E"/>
    <w:rsid w:val="00D7681D"/>
    <w:rsid w:val="00D86FEE"/>
    <w:rsid w:val="00DA47E4"/>
    <w:rsid w:val="00DF4BE9"/>
    <w:rsid w:val="00E13443"/>
    <w:rsid w:val="00E26551"/>
    <w:rsid w:val="00EA7E65"/>
    <w:rsid w:val="00F32B10"/>
    <w:rsid w:val="00F51C6E"/>
    <w:rsid w:val="00F54E02"/>
    <w:rsid w:val="00F922C4"/>
    <w:rsid w:val="00F92E75"/>
    <w:rsid w:val="00FA1DA1"/>
    <w:rsid w:val="00FB0BA2"/>
    <w:rsid w:val="00FC7DD9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9DBA2D"/>
  <w15:chartTrackingRefBased/>
  <w15:docId w15:val="{759D7376-0129-485F-8A2E-7853539F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poS" w:eastAsiaTheme="minorHAnsi" w:hAnsi="CorpoS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702"/>
    <w:pPr>
      <w:spacing w:after="0" w:line="240" w:lineRule="auto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2702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2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2702"/>
    <w:rPr>
      <w:rFonts w:eastAsia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2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2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2DA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2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2DA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2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2DA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7F783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BA1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bank.de/apotheke_verkauf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933F2-58B6-404E-9928-A7002472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4104</Characters>
  <Application>Microsoft Office Word</Application>
  <DocSecurity>0</DocSecurity>
  <Lines>66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Apotheker- und  ?rztebank eG, D  sseldorf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Widera</dc:creator>
  <cp:keywords/>
  <dc:description/>
  <cp:lastModifiedBy>yf7u8mx</cp:lastModifiedBy>
  <cp:revision>7</cp:revision>
  <cp:lastPrinted>2019-07-11T08:25:00Z</cp:lastPrinted>
  <dcterms:created xsi:type="dcterms:W3CDTF">2019-07-11T13:23:00Z</dcterms:created>
  <dcterms:modified xsi:type="dcterms:W3CDTF">2019-07-12T09:32:00Z</dcterms:modified>
</cp:coreProperties>
</file>