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FE053D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FE053D">
        <w:rPr>
          <w:rFonts w:asciiTheme="minorHAnsi" w:hAnsiTheme="minorHAnsi" w:cs="MetaBold-Roman"/>
          <w:b/>
          <w:bCs/>
          <w:sz w:val="36"/>
          <w:szCs w:val="36"/>
        </w:rPr>
        <w:t xml:space="preserve">Saphir – er bietet ein umfangreiches </w:t>
      </w:r>
      <w:proofErr w:type="spellStart"/>
      <w:r w:rsidRPr="00FE053D">
        <w:rPr>
          <w:rFonts w:asciiTheme="minorHAnsi" w:hAnsiTheme="minorHAnsi" w:cs="MetaBold-Roman"/>
          <w:b/>
          <w:bCs/>
          <w:sz w:val="36"/>
          <w:szCs w:val="36"/>
        </w:rPr>
        <w:t>Grundriss</w:t>
      </w:r>
      <w:proofErr w:type="spellEnd"/>
      <w:r w:rsidRPr="00FE053D">
        <w:rPr>
          <w:rFonts w:asciiTheme="minorHAnsi" w:hAnsiTheme="minorHAnsi" w:cs="MetaBold-Roman"/>
          <w:b/>
          <w:bCs/>
          <w:sz w:val="36"/>
          <w:szCs w:val="36"/>
        </w:rPr>
        <w:t>-Programm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FE053D">
        <w:rPr>
          <w:rFonts w:asciiTheme="minorHAnsi" w:hAnsiTheme="minorHAnsi" w:cs="MetaBold-Roman"/>
          <w:b/>
          <w:bCs/>
          <w:sz w:val="36"/>
          <w:szCs w:val="36"/>
        </w:rPr>
        <w:t>Für Singles oder zwei Personen bis zur großen Familie ist der Richtige dabei.</w:t>
      </w:r>
    </w:p>
    <w:p w:rsidR="004B03C2" w:rsidRPr="00FE053D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Beim Saphir gibt es eine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Grundriss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-Auswahl für beinahe jeden Wunsch nach einer bestimmten Raumlösung.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Auch eine sechsköpfige Familie wird hier den richtigen </w:t>
      </w:r>
      <w:r>
        <w:rPr>
          <w:rFonts w:asciiTheme="minorHAnsi" w:hAnsiTheme="minorHAnsi" w:cs="MetaNormal-Roman"/>
          <w:sz w:val="22"/>
          <w:szCs w:val="22"/>
        </w:rPr>
        <w:t>Wohnwagen</w:t>
      </w:r>
      <w:r w:rsidRPr="00FE053D">
        <w:rPr>
          <w:rFonts w:asciiTheme="minorHAnsi" w:hAnsiTheme="minorHAnsi" w:cs="MetaNormal-Roman"/>
          <w:sz w:val="22"/>
          <w:szCs w:val="22"/>
        </w:rPr>
        <w:t xml:space="preserve"> für sich finden. Der Einstieg i</w:t>
      </w:r>
      <w:r>
        <w:rPr>
          <w:rFonts w:asciiTheme="minorHAnsi" w:hAnsiTheme="minorHAnsi" w:cs="MetaNormal-Roman"/>
          <w:sz w:val="22"/>
          <w:szCs w:val="22"/>
        </w:rPr>
        <w:t xml:space="preserve">n die „Fendt-Caravan-Welt“ wird </w:t>
      </w:r>
      <w:r w:rsidRPr="00FE053D">
        <w:rPr>
          <w:rFonts w:asciiTheme="minorHAnsi" w:hAnsiTheme="minorHAnsi" w:cs="MetaNormal-Roman"/>
          <w:sz w:val="22"/>
          <w:szCs w:val="22"/>
        </w:rPr>
        <w:t>über diese Baureihe zum Kinderspiel. Der Saphir ist auch in der Saison 2018 der qualitätsorientierte Markeneinsteiger.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Obwohl die Optimierungen bei Fendt-Caravan überwiegend baureihenübergreifend sind, gibt</w:t>
      </w:r>
      <w:r>
        <w:rPr>
          <w:rFonts w:asciiTheme="minorHAnsi" w:hAnsiTheme="minorHAnsi" w:cs="MetaNormal-Roman"/>
          <w:sz w:val="22"/>
          <w:szCs w:val="22"/>
        </w:rPr>
        <w:t xml:space="preserve"> es viele interessante Details, </w:t>
      </w:r>
      <w:r w:rsidRPr="00FE053D">
        <w:rPr>
          <w:rFonts w:asciiTheme="minorHAnsi" w:hAnsiTheme="minorHAnsi" w:cs="MetaNormal-Roman"/>
          <w:sz w:val="22"/>
          <w:szCs w:val="22"/>
        </w:rPr>
        <w:t>welche zu deutlichen Unterschieden der einzelnen Baureihen führen. In erster Linie ist das die jeweilige</w:t>
      </w:r>
      <w:r>
        <w:rPr>
          <w:rFonts w:asciiTheme="minorHAnsi" w:hAnsiTheme="minorHAnsi" w:cs="MetaNormal-Roman"/>
          <w:sz w:val="22"/>
          <w:szCs w:val="22"/>
        </w:rPr>
        <w:t xml:space="preserve"> „</w:t>
      </w:r>
      <w:proofErr w:type="spellStart"/>
      <w:r>
        <w:rPr>
          <w:rFonts w:asciiTheme="minorHAnsi" w:hAnsiTheme="minorHAnsi" w:cs="MetaNormal-Roman"/>
          <w:sz w:val="22"/>
          <w:szCs w:val="22"/>
        </w:rPr>
        <w:t>Wohnwelt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“ mit den </w:t>
      </w:r>
      <w:r w:rsidRPr="00FE053D">
        <w:rPr>
          <w:rFonts w:asciiTheme="minorHAnsi" w:hAnsiTheme="minorHAnsi" w:cs="MetaNormal-Roman"/>
          <w:sz w:val="22"/>
          <w:szCs w:val="22"/>
        </w:rPr>
        <w:t>zugehörigen Möbelformen, Holztönen, Griffen und Polstervarianten. Ergänzend hierzu gibt es</w:t>
      </w:r>
      <w:r>
        <w:rPr>
          <w:rFonts w:asciiTheme="minorHAnsi" w:hAnsiTheme="minorHAnsi" w:cs="MetaNormal-Roman"/>
          <w:sz w:val="22"/>
          <w:szCs w:val="22"/>
        </w:rPr>
        <w:t xml:space="preserve"> noch einige weitere, besondere </w:t>
      </w:r>
      <w:r w:rsidRPr="00FE053D">
        <w:rPr>
          <w:rFonts w:asciiTheme="minorHAnsi" w:hAnsiTheme="minorHAnsi" w:cs="MetaNormal-Roman"/>
          <w:sz w:val="22"/>
          <w:szCs w:val="22"/>
        </w:rPr>
        <w:t>Ausstattungsmerkmale innerhalb einer Baureihe.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Untenstehend ein Auszug einiger wichtiger Saphir-Besonderheiten: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Der Saphir ist auch mit attraktiven Etagenbettvarianten erhältlich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Er bietet die meisten Versionen an Sitzgruppenanordnungen, unter anderem auch einige Mittelsitzgruppen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Die Grundrisse 700 SFDW und 700 SGDW sind, als Besonderheit</w:t>
      </w:r>
      <w:r>
        <w:rPr>
          <w:rFonts w:asciiTheme="minorHAnsi" w:hAnsiTheme="minorHAnsi" w:cs="MetaNormal-Roman"/>
          <w:sz w:val="22"/>
          <w:szCs w:val="22"/>
        </w:rPr>
        <w:t xml:space="preserve"> innerhalb der Saphir-Baureihe, </w:t>
      </w:r>
      <w:r w:rsidRPr="00FE053D">
        <w:rPr>
          <w:rFonts w:asciiTheme="minorHAnsi" w:hAnsiTheme="minorHAnsi" w:cs="MetaNormal-Roman"/>
          <w:sz w:val="22"/>
          <w:szCs w:val="22"/>
        </w:rPr>
        <w:t xml:space="preserve">mit einer Warmwasser-Heizung und </w:t>
      </w:r>
      <w:r>
        <w:rPr>
          <w:rFonts w:asciiTheme="minorHAnsi" w:hAnsiTheme="minorHAnsi" w:cs="MetaNormal-Roman"/>
          <w:sz w:val="22"/>
          <w:szCs w:val="22"/>
        </w:rPr>
        <w:t>Warmwasser-Fußbodenheizung (</w:t>
      </w:r>
      <w:proofErr w:type="spellStart"/>
      <w:r>
        <w:rPr>
          <w:rFonts w:asciiTheme="minorHAnsi" w:hAnsiTheme="minorHAnsi" w:cs="MetaNormal-Roman"/>
          <w:sz w:val="22"/>
          <w:szCs w:val="22"/>
        </w:rPr>
        <w:t>Alde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 ausgestattet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Saphir besticht durch sein warmes Möbeldekor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Lulea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-Birke dunkel.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   </w:t>
      </w:r>
      <w:r w:rsidRPr="00FE053D">
        <w:rPr>
          <w:rFonts w:asciiTheme="minorHAnsi" w:hAnsiTheme="minorHAnsi" w:cs="MetaNormal-Roman"/>
          <w:sz w:val="22"/>
          <w:szCs w:val="22"/>
        </w:rPr>
        <w:t xml:space="preserve">Wahlweise sind die Stoffvarianten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Corvara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Imola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erhältlich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Normal-Roman"/>
          <w:b/>
          <w:sz w:val="28"/>
          <w:szCs w:val="28"/>
        </w:rPr>
      </w:pPr>
      <w:r w:rsidRPr="00777D77">
        <w:rPr>
          <w:rFonts w:asciiTheme="minorHAnsi" w:hAnsiTheme="minorHAnsi" w:cs="MetaNormal-Roman"/>
          <w:b/>
          <w:sz w:val="28"/>
          <w:szCs w:val="28"/>
        </w:rPr>
        <w:t>Neuerungen beim Saphir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Neuheiten fließen, je nach Eignung, in alle Baureihen ein – so auch beim Saphir, denn bei Fendt-Caravan gi</w:t>
      </w:r>
      <w:r>
        <w:rPr>
          <w:rFonts w:asciiTheme="minorHAnsi" w:hAnsiTheme="minorHAnsi" w:cs="MetaNormal-Roman"/>
          <w:sz w:val="22"/>
          <w:szCs w:val="22"/>
        </w:rPr>
        <w:t xml:space="preserve">bt es im Außendesign und Aufbau </w:t>
      </w:r>
      <w:r w:rsidRPr="00FE053D">
        <w:rPr>
          <w:rFonts w:asciiTheme="minorHAnsi" w:hAnsiTheme="minorHAnsi" w:cs="MetaNormal-Roman"/>
          <w:sz w:val="22"/>
          <w:szCs w:val="22"/>
        </w:rPr>
        <w:t>ein gemeinsames Erscheinungsbild. In dieser Saison sind dies folgende Punkte: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 gestaltetes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Rangiergriffe im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Schlussleuchteneinfassung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Chrom-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Carbonoptik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Neue, höhere Serviceklappe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Verlängerte Kurbelstützen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Den Unterschied der einzelnen Baureihen machen die „Wohnwelten“.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Verschiedene Materialien und Gestaltungslinien schaffen eigenständige Auftritte mit unterschiedlichem Flair.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Folgende Neuerungen im Innenbereich unterstreichen das Erscheinungsbild der Fendt-Caravans der Saison 2018 im Allgemeinen un</w:t>
      </w:r>
      <w:r>
        <w:rPr>
          <w:rFonts w:asciiTheme="minorHAnsi" w:hAnsiTheme="minorHAnsi" w:cs="MetaNormal-Roman"/>
          <w:sz w:val="22"/>
          <w:szCs w:val="22"/>
        </w:rPr>
        <w:t xml:space="preserve">d </w:t>
      </w:r>
      <w:r w:rsidRPr="00FE053D">
        <w:rPr>
          <w:rFonts w:asciiTheme="minorHAnsi" w:hAnsiTheme="minorHAnsi" w:cs="MetaNormal-Roman"/>
          <w:sz w:val="22"/>
          <w:szCs w:val="22"/>
        </w:rPr>
        <w:t xml:space="preserve">etliche zusätzliche Ausstattungsmerkmale die Besonderheiten des </w:t>
      </w:r>
      <w:proofErr w:type="gramStart"/>
      <w:r w:rsidRPr="00FE053D">
        <w:rPr>
          <w:rFonts w:asciiTheme="minorHAnsi" w:hAnsiTheme="minorHAnsi" w:cs="MetaNormal-Roman"/>
          <w:sz w:val="22"/>
          <w:szCs w:val="22"/>
        </w:rPr>
        <w:t>Saphir</w:t>
      </w:r>
      <w:proofErr w:type="gramEnd"/>
      <w:r w:rsidRPr="00FE053D">
        <w:rPr>
          <w:rFonts w:asciiTheme="minorHAnsi" w:hAnsiTheme="minorHAnsi" w:cs="MetaNormal-Roman"/>
          <w:sz w:val="22"/>
          <w:szCs w:val="22"/>
        </w:rPr>
        <w:t>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neue Saphir-Programm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13 Grundrisse, davon</w:t>
      </w:r>
      <w:r>
        <w:rPr>
          <w:rFonts w:asciiTheme="minorHAnsi" w:hAnsiTheme="minorHAnsi" w:cs="MetaNormal-Roman"/>
          <w:sz w:val="22"/>
          <w:szCs w:val="22"/>
        </w:rPr>
        <w:t xml:space="preserve"> zwei „Kinderzimmer-Grundrisse“ sowie zwei Grundrisse mit </w:t>
      </w:r>
      <w:r w:rsidRPr="00FE053D">
        <w:rPr>
          <w:rFonts w:asciiTheme="minorHAnsi" w:hAnsiTheme="minorHAnsi" w:cs="MetaNormal-Roman"/>
          <w:sz w:val="22"/>
          <w:szCs w:val="22"/>
        </w:rPr>
        <w:t>Warmwasser-Heizung und Warmwasser-Fußbodenheizung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Grundrisse: 700 SFDW und 700 SGDW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Kinderzimmerleuchten mit 2 USB-Steckdosen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Betten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lastRenderedPageBreak/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Kühlschrankfront in Edelstahl</w:t>
      </w:r>
      <w:r>
        <w:rPr>
          <w:rFonts w:asciiTheme="minorHAnsi" w:hAnsiTheme="minorHAnsi" w:cs="MetaNormal-Roman"/>
          <w:sz w:val="22"/>
          <w:szCs w:val="22"/>
        </w:rPr>
        <w:t>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Neuer Schichtstoff (Küche, Tisch)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Neuer Einstiegsteppich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•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>-Box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Stoffkombinationen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Corvara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oder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Imola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abgestimmt auf die Möbel in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Lulea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-Birke-Dekor dunkel“</w:t>
      </w:r>
    </w:p>
    <w:p w:rsidR="00275563" w:rsidRDefault="00275563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912FB1" w:rsidRDefault="00912FB1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Saphir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Preise in EURO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445 TFB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19.880,00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465 SFB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20.390,00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465 SQ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20.390,00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465 TG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20.440,00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495 SFB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20.890,00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</w:rPr>
              <w:t>515 SG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21.750,00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560 SF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24.290,00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560 SKM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24.890,00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650 SKM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26.190,00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700 SFD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28.950,00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700 SFDW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33.670,00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700 SGD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28.950,00</w:t>
            </w:r>
          </w:p>
        </w:tc>
      </w:tr>
      <w:tr w:rsidR="00912FB1" w:rsidRPr="00912FB1" w:rsidTr="004546E4">
        <w:tc>
          <w:tcPr>
            <w:tcW w:w="1630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700 SGDW</w:t>
            </w:r>
          </w:p>
        </w:tc>
        <w:tc>
          <w:tcPr>
            <w:tcW w:w="2409" w:type="dxa"/>
          </w:tcPr>
          <w:p w:rsidR="00912FB1" w:rsidRPr="00912FB1" w:rsidRDefault="00912FB1" w:rsidP="00912FB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912FB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33.670,00</w:t>
            </w:r>
          </w:p>
        </w:tc>
      </w:tr>
    </w:tbl>
    <w:p w:rsidR="00912FB1" w:rsidRDefault="00912FB1" w:rsidP="004B03C2">
      <w:pPr>
        <w:widowControl/>
        <w:rPr>
          <w:rFonts w:asciiTheme="minorHAnsi" w:hAnsiTheme="minorHAnsi" w:cs="MetaNormal-Roman"/>
          <w:sz w:val="22"/>
          <w:szCs w:val="22"/>
        </w:rPr>
      </w:pPr>
      <w:bookmarkStart w:id="0" w:name="_GoBack"/>
      <w:bookmarkEnd w:id="0"/>
    </w:p>
    <w:sectPr w:rsidR="00912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275563"/>
    <w:rsid w:val="004B03C2"/>
    <w:rsid w:val="005F408E"/>
    <w:rsid w:val="00912FB1"/>
    <w:rsid w:val="00A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dcterms:created xsi:type="dcterms:W3CDTF">2017-06-14T05:24:00Z</dcterms:created>
  <dcterms:modified xsi:type="dcterms:W3CDTF">2017-06-14T05:24:00Z</dcterms:modified>
</cp:coreProperties>
</file>