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78A19" w14:textId="77777777" w:rsidR="005713ED" w:rsidRPr="00841410" w:rsidRDefault="005713ED" w:rsidP="005713ED">
      <w:pPr>
        <w:pStyle w:val="VisaDocumentname"/>
        <w:rPr>
          <w:rFonts w:cs="Segoe UI"/>
          <w:lang w:val="cs-CZ"/>
        </w:rPr>
      </w:pPr>
      <w:r w:rsidRPr="00841410">
        <w:rPr>
          <w:rFonts w:cs="Segoe UI"/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3E36DFA8" wp14:editId="5A2F15DC">
            <wp:simplePos x="2057400" y="657225"/>
            <wp:positionH relativeFrom="page">
              <wp:align>right</wp:align>
            </wp:positionH>
            <wp:positionV relativeFrom="page">
              <wp:align>top</wp:align>
            </wp:positionV>
            <wp:extent cx="1481328" cy="832104"/>
            <wp:effectExtent l="0" t="0" r="5080" b="6350"/>
            <wp:wrapNone/>
            <wp:docPr id="1" name="Picture 1" descr="C:\Users\mordoyne\Desktop\templates\forms_vb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ordoyne\Desktop\templates\forms_vb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28" cy="83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1410">
        <w:rPr>
          <w:rFonts w:cs="Segoe UI"/>
          <w:lang w:val="cs-CZ"/>
        </w:rPr>
        <w:t>TISKOVÁ ZPRÁVA</w:t>
      </w:r>
    </w:p>
    <w:p w14:paraId="69F9A869" w14:textId="77777777" w:rsidR="00CA7473" w:rsidRPr="00841410" w:rsidRDefault="00BC1377" w:rsidP="005713ED">
      <w:pPr>
        <w:pStyle w:val="VisaHeadline"/>
        <w:jc w:val="center"/>
        <w:rPr>
          <w:rFonts w:cs="Segoe UI"/>
          <w:sz w:val="34"/>
          <w:szCs w:val="34"/>
          <w:lang w:val="cs-CZ"/>
        </w:rPr>
      </w:pPr>
      <w:r w:rsidRPr="00841410">
        <w:rPr>
          <w:rFonts w:cs="Segoe UI"/>
          <w:sz w:val="34"/>
          <w:szCs w:val="34"/>
          <w:lang w:val="cs-CZ"/>
        </w:rPr>
        <w:t xml:space="preserve">Přechod na </w:t>
      </w:r>
      <w:r w:rsidR="00CA7473" w:rsidRPr="00841410">
        <w:rPr>
          <w:rFonts w:cs="Segoe UI"/>
          <w:sz w:val="34"/>
          <w:szCs w:val="34"/>
          <w:lang w:val="cs-CZ"/>
        </w:rPr>
        <w:t>bezhotovostní</w:t>
      </w:r>
      <w:r w:rsidR="00EE7E57" w:rsidRPr="00841410">
        <w:rPr>
          <w:rFonts w:cs="Segoe UI"/>
          <w:sz w:val="34"/>
          <w:szCs w:val="34"/>
          <w:lang w:val="cs-CZ"/>
        </w:rPr>
        <w:t xml:space="preserve"> platby by Praze přinesl</w:t>
      </w:r>
      <w:r w:rsidRPr="00841410">
        <w:rPr>
          <w:rFonts w:cs="Segoe UI"/>
          <w:sz w:val="34"/>
          <w:szCs w:val="34"/>
          <w:lang w:val="cs-CZ"/>
        </w:rPr>
        <w:t xml:space="preserve"> </w:t>
      </w:r>
    </w:p>
    <w:p w14:paraId="29BEC15A" w14:textId="2A724A15" w:rsidR="005713ED" w:rsidRPr="00841410" w:rsidRDefault="00BC1377" w:rsidP="005713ED">
      <w:pPr>
        <w:pStyle w:val="VisaHeadline"/>
        <w:jc w:val="center"/>
        <w:rPr>
          <w:rFonts w:cs="Segoe UI"/>
          <w:sz w:val="34"/>
          <w:szCs w:val="34"/>
          <w:lang w:val="cs-CZ"/>
        </w:rPr>
      </w:pPr>
      <w:r w:rsidRPr="00841410">
        <w:rPr>
          <w:rFonts w:cs="Segoe UI"/>
          <w:sz w:val="34"/>
          <w:szCs w:val="34"/>
          <w:lang w:val="cs-CZ"/>
        </w:rPr>
        <w:t>3</w:t>
      </w:r>
      <w:r w:rsidR="008F4A27">
        <w:rPr>
          <w:rFonts w:cs="Segoe UI"/>
          <w:sz w:val="34"/>
          <w:szCs w:val="34"/>
          <w:lang w:val="cs-CZ"/>
        </w:rPr>
        <w:t>3</w:t>
      </w:r>
      <w:r w:rsidRPr="00841410">
        <w:rPr>
          <w:rFonts w:cs="Segoe UI"/>
          <w:sz w:val="34"/>
          <w:szCs w:val="34"/>
          <w:lang w:val="cs-CZ"/>
        </w:rPr>
        <w:t xml:space="preserve"> miliard </w:t>
      </w:r>
      <w:r w:rsidR="004129FD">
        <w:rPr>
          <w:rFonts w:cs="Segoe UI"/>
          <w:sz w:val="34"/>
          <w:szCs w:val="34"/>
          <w:lang w:val="cs-CZ"/>
        </w:rPr>
        <w:t>korun</w:t>
      </w:r>
      <w:r w:rsidRPr="00841410">
        <w:rPr>
          <w:rFonts w:cs="Segoe UI"/>
          <w:sz w:val="34"/>
          <w:szCs w:val="34"/>
          <w:lang w:val="cs-CZ"/>
        </w:rPr>
        <w:t>, ukazuje studie Visa</w:t>
      </w:r>
    </w:p>
    <w:p w14:paraId="160C612E" w14:textId="77777777" w:rsidR="005713ED" w:rsidRPr="00841410" w:rsidRDefault="005713ED" w:rsidP="005713ED">
      <w:pPr>
        <w:pStyle w:val="Odstavecseseznamem"/>
        <w:rPr>
          <w:b/>
          <w:bCs/>
          <w:i/>
          <w:sz w:val="24"/>
          <w:lang w:val="cs-CZ"/>
        </w:rPr>
      </w:pPr>
    </w:p>
    <w:p w14:paraId="73F8E020" w14:textId="133799CD" w:rsidR="00BC1377" w:rsidRPr="00841410" w:rsidRDefault="00EB05A1" w:rsidP="002F39BB">
      <w:pPr>
        <w:jc w:val="both"/>
        <w:rPr>
          <w:rFonts w:cs="Segoe UI"/>
          <w:b/>
          <w:sz w:val="22"/>
          <w:szCs w:val="22"/>
          <w:lang w:val="cs-CZ"/>
        </w:rPr>
      </w:pPr>
      <w:r w:rsidRPr="00841410">
        <w:rPr>
          <w:rFonts w:cs="Segoe UI"/>
          <w:b/>
          <w:sz w:val="22"/>
          <w:szCs w:val="22"/>
          <w:lang w:val="cs-CZ"/>
        </w:rPr>
        <w:t>Bezhotovostní platby</w:t>
      </w:r>
      <w:r w:rsidR="00BC1377" w:rsidRPr="00841410">
        <w:rPr>
          <w:rFonts w:cs="Segoe UI"/>
          <w:b/>
          <w:sz w:val="22"/>
          <w:szCs w:val="22"/>
          <w:lang w:val="cs-CZ"/>
        </w:rPr>
        <w:t xml:space="preserve"> by pražským spotřebitelům, obchodníkům i </w:t>
      </w:r>
      <w:r w:rsidR="002F39BB">
        <w:rPr>
          <w:rFonts w:cs="Segoe UI"/>
          <w:b/>
          <w:sz w:val="22"/>
          <w:szCs w:val="22"/>
          <w:lang w:val="cs-CZ"/>
        </w:rPr>
        <w:t>veřejným institucím</w:t>
      </w:r>
      <w:r w:rsidR="00BC1377" w:rsidRPr="00841410">
        <w:rPr>
          <w:rFonts w:cs="Segoe UI"/>
          <w:b/>
          <w:sz w:val="22"/>
          <w:szCs w:val="22"/>
          <w:lang w:val="cs-CZ"/>
        </w:rPr>
        <w:t xml:space="preserve"> </w:t>
      </w:r>
      <w:r w:rsidR="00D4116C" w:rsidRPr="00841410">
        <w:rPr>
          <w:rFonts w:cs="Segoe UI"/>
          <w:b/>
          <w:sz w:val="22"/>
          <w:szCs w:val="22"/>
          <w:lang w:val="cs-CZ"/>
        </w:rPr>
        <w:t>přinesl</w:t>
      </w:r>
      <w:r w:rsidR="007E79C2" w:rsidRPr="00841410">
        <w:rPr>
          <w:rFonts w:cs="Segoe UI"/>
          <w:b/>
          <w:sz w:val="22"/>
          <w:szCs w:val="22"/>
          <w:lang w:val="cs-CZ"/>
        </w:rPr>
        <w:t>y</w:t>
      </w:r>
      <w:r w:rsidR="00D4116C" w:rsidRPr="00841410">
        <w:rPr>
          <w:rFonts w:cs="Segoe UI"/>
          <w:b/>
          <w:sz w:val="22"/>
          <w:szCs w:val="22"/>
          <w:lang w:val="cs-CZ"/>
        </w:rPr>
        <w:t xml:space="preserve"> </w:t>
      </w:r>
      <w:r w:rsidR="008F4A27">
        <w:rPr>
          <w:rFonts w:cs="Segoe UI"/>
          <w:b/>
          <w:sz w:val="22"/>
          <w:szCs w:val="22"/>
          <w:lang w:val="cs-CZ"/>
        </w:rPr>
        <w:t>přes 33</w:t>
      </w:r>
      <w:r w:rsidR="00BC1377" w:rsidRPr="00841410">
        <w:rPr>
          <w:rFonts w:cs="Segoe UI"/>
          <w:b/>
          <w:sz w:val="22"/>
          <w:szCs w:val="22"/>
          <w:lang w:val="cs-CZ"/>
        </w:rPr>
        <w:t xml:space="preserve"> miliard korun. </w:t>
      </w:r>
      <w:r w:rsidR="0096190F" w:rsidRPr="00841410">
        <w:rPr>
          <w:rFonts w:cs="Segoe UI"/>
          <w:b/>
          <w:sz w:val="22"/>
          <w:szCs w:val="22"/>
          <w:lang w:val="cs-CZ"/>
        </w:rPr>
        <w:t>Tak společnost</w:t>
      </w:r>
      <w:r w:rsidR="00BC1377" w:rsidRPr="00841410">
        <w:rPr>
          <w:rFonts w:cs="Segoe UI"/>
          <w:b/>
          <w:sz w:val="22"/>
          <w:szCs w:val="22"/>
          <w:lang w:val="cs-CZ"/>
        </w:rPr>
        <w:t xml:space="preserve"> Visa vyčíslila potenciální přínosy </w:t>
      </w:r>
      <w:r w:rsidR="00850CCD" w:rsidRPr="00841410">
        <w:rPr>
          <w:rFonts w:cs="Segoe UI"/>
          <w:b/>
          <w:sz w:val="22"/>
          <w:szCs w:val="22"/>
          <w:lang w:val="cs-CZ"/>
        </w:rPr>
        <w:t>přesunu</w:t>
      </w:r>
      <w:r w:rsidR="00BC1377" w:rsidRPr="00841410">
        <w:rPr>
          <w:rFonts w:cs="Segoe UI"/>
          <w:b/>
          <w:sz w:val="22"/>
          <w:szCs w:val="22"/>
          <w:lang w:val="cs-CZ"/>
        </w:rPr>
        <w:t xml:space="preserve"> </w:t>
      </w:r>
      <w:r w:rsidR="002D4F0E">
        <w:rPr>
          <w:rFonts w:cs="Segoe UI"/>
          <w:b/>
          <w:sz w:val="22"/>
          <w:szCs w:val="22"/>
          <w:lang w:val="cs-CZ"/>
        </w:rPr>
        <w:t>od hotovost</w:t>
      </w:r>
      <w:r w:rsidR="005E219A">
        <w:rPr>
          <w:rFonts w:cs="Segoe UI"/>
          <w:b/>
          <w:sz w:val="22"/>
          <w:szCs w:val="22"/>
          <w:lang w:val="cs-CZ"/>
        </w:rPr>
        <w:t>i</w:t>
      </w:r>
      <w:r w:rsidR="00BC1377" w:rsidRPr="00841410">
        <w:rPr>
          <w:rFonts w:cs="Segoe UI"/>
          <w:b/>
          <w:sz w:val="22"/>
          <w:szCs w:val="22"/>
          <w:lang w:val="cs-CZ"/>
        </w:rPr>
        <w:t xml:space="preserve"> </w:t>
      </w:r>
      <w:r w:rsidR="007E79C2" w:rsidRPr="00841410">
        <w:rPr>
          <w:rFonts w:cs="Segoe UI"/>
          <w:b/>
          <w:sz w:val="22"/>
          <w:szCs w:val="22"/>
          <w:lang w:val="cs-CZ"/>
        </w:rPr>
        <w:t>k</w:t>
      </w:r>
      <w:r w:rsidR="002B66FF">
        <w:rPr>
          <w:rFonts w:cs="Segoe UI"/>
          <w:b/>
          <w:sz w:val="22"/>
          <w:szCs w:val="22"/>
          <w:lang w:val="cs-CZ"/>
        </w:rPr>
        <w:t> </w:t>
      </w:r>
      <w:r w:rsidR="00D958A6">
        <w:rPr>
          <w:rFonts w:cs="Segoe UI"/>
          <w:b/>
          <w:sz w:val="22"/>
          <w:szCs w:val="22"/>
          <w:lang w:val="cs-CZ"/>
        </w:rPr>
        <w:t>bezhotovostním</w:t>
      </w:r>
      <w:r w:rsidR="002B66FF">
        <w:rPr>
          <w:rFonts w:cs="Segoe UI"/>
          <w:b/>
          <w:sz w:val="22"/>
          <w:szCs w:val="22"/>
          <w:lang w:val="cs-CZ"/>
        </w:rPr>
        <w:t xml:space="preserve"> </w:t>
      </w:r>
      <w:r w:rsidR="007E79C2" w:rsidRPr="00841410">
        <w:rPr>
          <w:rFonts w:cs="Segoe UI"/>
          <w:b/>
          <w:sz w:val="22"/>
          <w:szCs w:val="22"/>
          <w:lang w:val="cs-CZ"/>
        </w:rPr>
        <w:t>platbám</w:t>
      </w:r>
      <w:r w:rsidR="00BC1377" w:rsidRPr="00841410">
        <w:rPr>
          <w:rFonts w:cs="Segoe UI"/>
          <w:b/>
          <w:sz w:val="22"/>
          <w:szCs w:val="22"/>
          <w:lang w:val="cs-CZ"/>
        </w:rPr>
        <w:t xml:space="preserve"> </w:t>
      </w:r>
      <w:r w:rsidR="006C263C" w:rsidRPr="00841410">
        <w:rPr>
          <w:rFonts w:cs="Segoe UI"/>
          <w:b/>
          <w:sz w:val="22"/>
          <w:szCs w:val="22"/>
          <w:lang w:val="cs-CZ"/>
        </w:rPr>
        <w:t>v rámci studie</w:t>
      </w:r>
      <w:r w:rsidR="00AE5E67">
        <w:rPr>
          <w:rFonts w:cs="Segoe UI"/>
          <w:b/>
          <w:sz w:val="22"/>
          <w:szCs w:val="22"/>
          <w:lang w:val="cs-CZ"/>
        </w:rPr>
        <w:t xml:space="preserve">, </w:t>
      </w:r>
      <w:r w:rsidR="00AE25E3">
        <w:rPr>
          <w:rFonts w:cs="Segoe UI"/>
          <w:b/>
          <w:sz w:val="22"/>
          <w:szCs w:val="22"/>
          <w:lang w:val="cs-CZ"/>
        </w:rPr>
        <w:t>která proběhla</w:t>
      </w:r>
      <w:r w:rsidR="006C263C" w:rsidRPr="00841410">
        <w:rPr>
          <w:rFonts w:cs="Segoe UI"/>
          <w:b/>
          <w:sz w:val="22"/>
          <w:szCs w:val="22"/>
          <w:lang w:val="cs-CZ"/>
        </w:rPr>
        <w:t xml:space="preserve"> </w:t>
      </w:r>
      <w:r w:rsidR="00AE25E3">
        <w:rPr>
          <w:rFonts w:cs="Segoe UI"/>
          <w:b/>
          <w:sz w:val="22"/>
          <w:szCs w:val="22"/>
          <w:lang w:val="cs-CZ"/>
        </w:rPr>
        <w:t xml:space="preserve">ve </w:t>
      </w:r>
      <w:r w:rsidR="00BC1377" w:rsidRPr="00841410">
        <w:rPr>
          <w:rFonts w:cs="Segoe UI"/>
          <w:b/>
          <w:sz w:val="22"/>
          <w:szCs w:val="22"/>
          <w:lang w:val="cs-CZ"/>
        </w:rPr>
        <w:t>stov</w:t>
      </w:r>
      <w:r w:rsidR="00AE25E3">
        <w:rPr>
          <w:rFonts w:cs="Segoe UI"/>
          <w:b/>
          <w:sz w:val="22"/>
          <w:szCs w:val="22"/>
          <w:lang w:val="cs-CZ"/>
        </w:rPr>
        <w:t>ce</w:t>
      </w:r>
      <w:r w:rsidR="002B66FF">
        <w:rPr>
          <w:rFonts w:cs="Segoe UI"/>
          <w:b/>
          <w:sz w:val="22"/>
          <w:szCs w:val="22"/>
          <w:lang w:val="cs-CZ"/>
        </w:rPr>
        <w:t xml:space="preserve"> měst po celém světě. </w:t>
      </w:r>
      <w:r w:rsidR="006C263C" w:rsidRPr="00841410">
        <w:rPr>
          <w:rFonts w:cs="Segoe UI"/>
          <w:b/>
          <w:sz w:val="22"/>
          <w:szCs w:val="22"/>
          <w:lang w:val="cs-CZ"/>
        </w:rPr>
        <w:t>26 miliard korun b</w:t>
      </w:r>
      <w:r w:rsidR="005237A4" w:rsidRPr="00841410">
        <w:rPr>
          <w:rFonts w:cs="Segoe UI"/>
          <w:b/>
          <w:sz w:val="22"/>
          <w:szCs w:val="22"/>
          <w:lang w:val="cs-CZ"/>
        </w:rPr>
        <w:t xml:space="preserve">y </w:t>
      </w:r>
      <w:r w:rsidR="006C263C" w:rsidRPr="00841410">
        <w:rPr>
          <w:rFonts w:cs="Segoe UI"/>
          <w:b/>
          <w:sz w:val="22"/>
          <w:szCs w:val="22"/>
          <w:lang w:val="cs-CZ"/>
        </w:rPr>
        <w:t>ušetřily</w:t>
      </w:r>
      <w:r w:rsidR="002B66FF">
        <w:rPr>
          <w:rFonts w:cs="Segoe UI"/>
          <w:b/>
          <w:sz w:val="22"/>
          <w:szCs w:val="22"/>
          <w:lang w:val="cs-CZ"/>
        </w:rPr>
        <w:t xml:space="preserve"> </w:t>
      </w:r>
      <w:r w:rsidR="002F39BB">
        <w:rPr>
          <w:rFonts w:cs="Segoe UI"/>
          <w:b/>
          <w:sz w:val="22"/>
          <w:szCs w:val="22"/>
          <w:lang w:val="cs-CZ"/>
        </w:rPr>
        <w:t>v Praze</w:t>
      </w:r>
      <w:r w:rsidR="006C263C" w:rsidRPr="00841410">
        <w:rPr>
          <w:rFonts w:cs="Segoe UI"/>
          <w:b/>
          <w:sz w:val="22"/>
          <w:szCs w:val="22"/>
          <w:lang w:val="cs-CZ"/>
        </w:rPr>
        <w:t xml:space="preserve"> firmy a podnikatelé, 6 miliard veřejné instituce a více než miliardu </w:t>
      </w:r>
      <w:r w:rsidR="005237A4" w:rsidRPr="00841410">
        <w:rPr>
          <w:rFonts w:cs="Segoe UI"/>
          <w:b/>
          <w:sz w:val="22"/>
          <w:szCs w:val="22"/>
          <w:lang w:val="cs-CZ"/>
        </w:rPr>
        <w:t>korun</w:t>
      </w:r>
      <w:r w:rsidR="00AD6107" w:rsidRPr="00841410">
        <w:rPr>
          <w:rFonts w:cs="Segoe UI"/>
          <w:b/>
          <w:sz w:val="22"/>
          <w:szCs w:val="22"/>
          <w:lang w:val="cs-CZ"/>
        </w:rPr>
        <w:t xml:space="preserve"> čistého zisku</w:t>
      </w:r>
      <w:r w:rsidR="005237A4" w:rsidRPr="00841410">
        <w:rPr>
          <w:rFonts w:cs="Segoe UI"/>
          <w:b/>
          <w:sz w:val="22"/>
          <w:szCs w:val="22"/>
          <w:lang w:val="cs-CZ"/>
        </w:rPr>
        <w:t xml:space="preserve"> by vydělali samotní spotřebitelé. Hlavní</w:t>
      </w:r>
      <w:r w:rsidR="00AD6107" w:rsidRPr="00841410">
        <w:rPr>
          <w:rFonts w:cs="Segoe UI"/>
          <w:b/>
          <w:sz w:val="22"/>
          <w:szCs w:val="22"/>
          <w:lang w:val="cs-CZ"/>
        </w:rPr>
        <w:t>mi</w:t>
      </w:r>
      <w:r w:rsidR="005237A4" w:rsidRPr="00841410">
        <w:rPr>
          <w:rFonts w:cs="Segoe UI"/>
          <w:b/>
          <w:sz w:val="22"/>
          <w:szCs w:val="22"/>
          <w:lang w:val="cs-CZ"/>
        </w:rPr>
        <w:t xml:space="preserve"> </w:t>
      </w:r>
      <w:r w:rsidR="00850CCD" w:rsidRPr="00841410">
        <w:rPr>
          <w:rFonts w:cs="Segoe UI"/>
          <w:b/>
          <w:sz w:val="22"/>
          <w:szCs w:val="22"/>
          <w:lang w:val="cs-CZ"/>
        </w:rPr>
        <w:t>zdroji zisku</w:t>
      </w:r>
      <w:r w:rsidR="005237A4" w:rsidRPr="00841410">
        <w:rPr>
          <w:rFonts w:cs="Segoe UI"/>
          <w:b/>
          <w:sz w:val="22"/>
          <w:szCs w:val="22"/>
          <w:lang w:val="cs-CZ"/>
        </w:rPr>
        <w:t xml:space="preserve"> </w:t>
      </w:r>
      <w:r w:rsidR="00AD6107" w:rsidRPr="00841410">
        <w:rPr>
          <w:rFonts w:cs="Segoe UI"/>
          <w:b/>
          <w:sz w:val="22"/>
          <w:szCs w:val="22"/>
          <w:lang w:val="cs-CZ"/>
        </w:rPr>
        <w:t xml:space="preserve">by byla úspora času, menší </w:t>
      </w:r>
      <w:r w:rsidR="001B3E8B">
        <w:rPr>
          <w:rFonts w:cs="Segoe UI"/>
          <w:b/>
          <w:sz w:val="22"/>
          <w:szCs w:val="22"/>
          <w:lang w:val="cs-CZ"/>
        </w:rPr>
        <w:t>administrativní</w:t>
      </w:r>
      <w:r w:rsidR="00AD6107" w:rsidRPr="00841410">
        <w:rPr>
          <w:rFonts w:cs="Segoe UI"/>
          <w:b/>
          <w:sz w:val="22"/>
          <w:szCs w:val="22"/>
          <w:lang w:val="cs-CZ"/>
        </w:rPr>
        <w:t xml:space="preserve"> zátěž, </w:t>
      </w:r>
      <w:r w:rsidR="008C3567" w:rsidRPr="00841410">
        <w:rPr>
          <w:rFonts w:cs="Segoe UI"/>
          <w:b/>
          <w:sz w:val="22"/>
          <w:szCs w:val="22"/>
          <w:lang w:val="cs-CZ"/>
        </w:rPr>
        <w:t xml:space="preserve">zrychlený růst ekonomiky </w:t>
      </w:r>
      <w:r w:rsidR="00AD6107" w:rsidRPr="00841410">
        <w:rPr>
          <w:rFonts w:cs="Segoe UI"/>
          <w:b/>
          <w:sz w:val="22"/>
          <w:szCs w:val="22"/>
          <w:lang w:val="cs-CZ"/>
        </w:rPr>
        <w:t xml:space="preserve">i </w:t>
      </w:r>
      <w:r w:rsidR="00A03926" w:rsidRPr="00841410">
        <w:rPr>
          <w:rFonts w:cs="Segoe UI"/>
          <w:b/>
          <w:sz w:val="22"/>
          <w:szCs w:val="22"/>
          <w:lang w:val="cs-CZ"/>
        </w:rPr>
        <w:t>snížení kriminality</w:t>
      </w:r>
      <w:r w:rsidR="001B3E8B">
        <w:rPr>
          <w:rFonts w:cs="Segoe UI"/>
          <w:b/>
          <w:sz w:val="22"/>
          <w:szCs w:val="22"/>
          <w:lang w:val="cs-CZ"/>
        </w:rPr>
        <w:t xml:space="preserve"> sp</w:t>
      </w:r>
      <w:r w:rsidR="002F39BB">
        <w:rPr>
          <w:rFonts w:cs="Segoe UI"/>
          <w:b/>
          <w:sz w:val="22"/>
          <w:szCs w:val="22"/>
          <w:lang w:val="cs-CZ"/>
        </w:rPr>
        <w:t>ojené s </w:t>
      </w:r>
      <w:r w:rsidR="001B3E8B">
        <w:rPr>
          <w:rFonts w:cs="Segoe UI"/>
          <w:b/>
          <w:sz w:val="22"/>
          <w:szCs w:val="22"/>
          <w:lang w:val="cs-CZ"/>
        </w:rPr>
        <w:t>hotovostí</w:t>
      </w:r>
      <w:r w:rsidR="00AD6107" w:rsidRPr="00841410">
        <w:rPr>
          <w:rFonts w:cs="Segoe UI"/>
          <w:b/>
          <w:sz w:val="22"/>
          <w:szCs w:val="22"/>
          <w:lang w:val="cs-CZ"/>
        </w:rPr>
        <w:t>.</w:t>
      </w:r>
    </w:p>
    <w:p w14:paraId="2DBB113B" w14:textId="77777777" w:rsidR="006C263C" w:rsidRPr="00841410" w:rsidRDefault="006C263C" w:rsidP="002F39BB">
      <w:pPr>
        <w:jc w:val="both"/>
        <w:rPr>
          <w:rFonts w:cs="Segoe UI"/>
          <w:sz w:val="22"/>
          <w:szCs w:val="22"/>
          <w:lang w:val="cs-CZ"/>
        </w:rPr>
      </w:pPr>
    </w:p>
    <w:p w14:paraId="7C90C398" w14:textId="61A2CD44" w:rsidR="00AD6107" w:rsidRPr="00841410" w:rsidRDefault="00EE7E57" w:rsidP="002F39BB">
      <w:pPr>
        <w:jc w:val="both"/>
        <w:rPr>
          <w:rFonts w:cs="Segoe UI"/>
          <w:sz w:val="22"/>
          <w:szCs w:val="22"/>
          <w:lang w:val="cs-CZ"/>
        </w:rPr>
      </w:pPr>
      <w:r w:rsidRPr="00841410">
        <w:rPr>
          <w:rFonts w:cs="Segoe UI"/>
          <w:b/>
          <w:sz w:val="22"/>
          <w:szCs w:val="22"/>
          <w:lang w:val="cs-CZ"/>
        </w:rPr>
        <w:t xml:space="preserve">PRAHA, ČESKÁ REPUBLIKA, </w:t>
      </w:r>
      <w:r w:rsidR="004D1864">
        <w:rPr>
          <w:rFonts w:cs="Segoe UI"/>
          <w:b/>
          <w:sz w:val="22"/>
          <w:szCs w:val="22"/>
          <w:lang w:val="cs-CZ"/>
        </w:rPr>
        <w:t>27</w:t>
      </w:r>
      <w:r w:rsidRPr="00841410">
        <w:rPr>
          <w:rFonts w:cs="Segoe UI"/>
          <w:b/>
          <w:sz w:val="22"/>
          <w:szCs w:val="22"/>
          <w:lang w:val="cs-CZ"/>
        </w:rPr>
        <w:t>.</w:t>
      </w:r>
      <w:r w:rsidR="004D1864">
        <w:rPr>
          <w:rFonts w:cs="Segoe UI"/>
          <w:b/>
          <w:sz w:val="22"/>
          <w:szCs w:val="22"/>
          <w:lang w:val="cs-CZ"/>
        </w:rPr>
        <w:t xml:space="preserve"> března</w:t>
      </w:r>
      <w:r w:rsidRPr="00841410">
        <w:rPr>
          <w:rFonts w:cs="Segoe UI"/>
          <w:b/>
          <w:sz w:val="22"/>
          <w:szCs w:val="22"/>
          <w:lang w:val="cs-CZ"/>
        </w:rPr>
        <w:t xml:space="preserve"> 201</w:t>
      </w:r>
      <w:r w:rsidR="00B42DF0" w:rsidRPr="00841410">
        <w:rPr>
          <w:rFonts w:cs="Segoe UI"/>
          <w:b/>
          <w:sz w:val="22"/>
          <w:szCs w:val="22"/>
          <w:lang w:val="cs-CZ"/>
        </w:rPr>
        <w:t>8</w:t>
      </w:r>
      <w:r w:rsidRPr="00841410">
        <w:rPr>
          <w:rFonts w:cs="Segoe UI"/>
          <w:b/>
          <w:szCs w:val="20"/>
          <w:lang w:val="cs-CZ"/>
        </w:rPr>
        <w:t xml:space="preserve"> </w:t>
      </w:r>
      <w:r w:rsidRPr="00841410">
        <w:rPr>
          <w:rFonts w:cs="Segoe UI"/>
          <w:sz w:val="22"/>
          <w:szCs w:val="22"/>
          <w:lang w:val="cs-CZ"/>
        </w:rPr>
        <w:t>– Visa Inc. (NYSE: V)</w:t>
      </w:r>
      <w:r w:rsidR="00AD6107" w:rsidRPr="00841410">
        <w:rPr>
          <w:rFonts w:cs="Segoe UI"/>
          <w:sz w:val="22"/>
          <w:szCs w:val="22"/>
          <w:lang w:val="cs-CZ"/>
        </w:rPr>
        <w:t xml:space="preserve"> </w:t>
      </w:r>
      <w:r w:rsidR="00FF4645" w:rsidRPr="00841410">
        <w:rPr>
          <w:rFonts w:cs="Segoe UI"/>
          <w:sz w:val="22"/>
          <w:szCs w:val="22"/>
          <w:lang w:val="cs-CZ"/>
        </w:rPr>
        <w:t>publikovala ve spolupráci s </w:t>
      </w:r>
      <w:r w:rsidR="008C3567" w:rsidRPr="00841410">
        <w:rPr>
          <w:rFonts w:cs="Segoe UI"/>
          <w:sz w:val="22"/>
          <w:szCs w:val="22"/>
          <w:lang w:val="cs-CZ"/>
        </w:rPr>
        <w:t>Roubini ThoughtLab studii</w:t>
      </w:r>
      <w:r w:rsidR="00331AEF" w:rsidRPr="00841410">
        <w:rPr>
          <w:rFonts w:cs="Segoe UI"/>
          <w:sz w:val="22"/>
          <w:szCs w:val="22"/>
          <w:lang w:val="cs-CZ"/>
        </w:rPr>
        <w:t xml:space="preserve"> </w:t>
      </w:r>
      <w:r w:rsidR="00331AEF" w:rsidRPr="00841410">
        <w:rPr>
          <w:rFonts w:cs="Segoe UI"/>
          <w:i/>
          <w:sz w:val="22"/>
          <w:szCs w:val="22"/>
          <w:lang w:val="cs-CZ"/>
        </w:rPr>
        <w:t>Bezhotovostní města</w:t>
      </w:r>
      <w:r w:rsidR="007E79C2" w:rsidRPr="00841410">
        <w:rPr>
          <w:rStyle w:val="Znakapoznpodarou"/>
          <w:rFonts w:cs="Segoe UI"/>
          <w:b/>
          <w:sz w:val="22"/>
          <w:szCs w:val="22"/>
          <w:lang w:val="cs-CZ"/>
        </w:rPr>
        <w:footnoteReference w:id="1"/>
      </w:r>
      <w:r w:rsidR="008C3567" w:rsidRPr="00841410">
        <w:rPr>
          <w:rFonts w:cs="Segoe UI"/>
          <w:sz w:val="22"/>
          <w:szCs w:val="22"/>
          <w:lang w:val="cs-CZ"/>
        </w:rPr>
        <w:t xml:space="preserve">, </w:t>
      </w:r>
      <w:r w:rsidR="00B42DF0" w:rsidRPr="00841410">
        <w:rPr>
          <w:rFonts w:cs="Segoe UI"/>
          <w:sz w:val="22"/>
          <w:szCs w:val="22"/>
          <w:lang w:val="cs-CZ"/>
        </w:rPr>
        <w:t xml:space="preserve">ukazující </w:t>
      </w:r>
      <w:r w:rsidR="0094372A">
        <w:rPr>
          <w:rFonts w:cs="Segoe UI"/>
          <w:sz w:val="22"/>
          <w:szCs w:val="22"/>
          <w:lang w:val="cs-CZ"/>
        </w:rPr>
        <w:t xml:space="preserve">benefity </w:t>
      </w:r>
      <w:r w:rsidR="00B91D81" w:rsidRPr="00841410">
        <w:rPr>
          <w:rFonts w:cs="Segoe UI"/>
          <w:sz w:val="22"/>
          <w:szCs w:val="22"/>
          <w:lang w:val="cs-CZ"/>
        </w:rPr>
        <w:t>nástup</w:t>
      </w:r>
      <w:r w:rsidR="0094372A">
        <w:rPr>
          <w:rFonts w:cs="Segoe UI"/>
          <w:sz w:val="22"/>
          <w:szCs w:val="22"/>
          <w:lang w:val="cs-CZ"/>
        </w:rPr>
        <w:t>u</w:t>
      </w:r>
      <w:r w:rsidR="00AD6107" w:rsidRPr="00841410">
        <w:rPr>
          <w:rFonts w:cs="Segoe UI"/>
          <w:sz w:val="22"/>
          <w:szCs w:val="22"/>
          <w:lang w:val="cs-CZ"/>
        </w:rPr>
        <w:t xml:space="preserve"> </w:t>
      </w:r>
      <w:r w:rsidR="00B42DF0" w:rsidRPr="00841410">
        <w:rPr>
          <w:rFonts w:cs="Segoe UI"/>
          <w:sz w:val="22"/>
          <w:szCs w:val="22"/>
          <w:lang w:val="cs-CZ"/>
        </w:rPr>
        <w:t>bezhotovostní</w:t>
      </w:r>
      <w:r w:rsidR="007E79C2" w:rsidRPr="00841410">
        <w:rPr>
          <w:rFonts w:cs="Segoe UI"/>
          <w:sz w:val="22"/>
          <w:szCs w:val="22"/>
          <w:lang w:val="cs-CZ"/>
        </w:rPr>
        <w:t xml:space="preserve">ho placení </w:t>
      </w:r>
      <w:r w:rsidR="00AE25E3">
        <w:rPr>
          <w:rFonts w:cs="Segoe UI"/>
          <w:sz w:val="22"/>
          <w:szCs w:val="22"/>
          <w:lang w:val="cs-CZ"/>
        </w:rPr>
        <w:t xml:space="preserve">ve </w:t>
      </w:r>
      <w:r w:rsidR="00FF4645" w:rsidRPr="00841410">
        <w:rPr>
          <w:rFonts w:cs="Segoe UI"/>
          <w:sz w:val="22"/>
          <w:szCs w:val="22"/>
          <w:lang w:val="cs-CZ"/>
        </w:rPr>
        <w:t>stovce měst světa</w:t>
      </w:r>
      <w:r w:rsidR="00B42DF0" w:rsidRPr="00841410">
        <w:rPr>
          <w:rFonts w:cs="Segoe UI"/>
          <w:sz w:val="22"/>
          <w:szCs w:val="22"/>
          <w:lang w:val="cs-CZ"/>
        </w:rPr>
        <w:t xml:space="preserve">. </w:t>
      </w:r>
      <w:r w:rsidR="00AD6107" w:rsidRPr="00841410">
        <w:rPr>
          <w:rFonts w:cs="Segoe UI"/>
          <w:sz w:val="22"/>
          <w:szCs w:val="22"/>
          <w:lang w:val="cs-CZ"/>
        </w:rPr>
        <w:t>Zvýšení podílu digitálních plateb</w:t>
      </w:r>
      <w:r w:rsidR="0094372A" w:rsidRPr="00841410">
        <w:rPr>
          <w:rStyle w:val="Znakapoznpodarou"/>
          <w:rFonts w:cs="Segoe UI"/>
          <w:b/>
          <w:sz w:val="22"/>
          <w:szCs w:val="22"/>
          <w:lang w:val="cs-CZ"/>
        </w:rPr>
        <w:footnoteReference w:id="2"/>
      </w:r>
      <w:r w:rsidR="00B42DF0" w:rsidRPr="00841410">
        <w:rPr>
          <w:rFonts w:cs="Segoe UI"/>
          <w:sz w:val="22"/>
          <w:szCs w:val="22"/>
          <w:lang w:val="cs-CZ"/>
        </w:rPr>
        <w:t xml:space="preserve"> na dosažitelnou úroveň</w:t>
      </w:r>
      <w:r w:rsidR="00B42DF0" w:rsidRPr="00841410">
        <w:rPr>
          <w:rStyle w:val="Znakapoznpodarou"/>
          <w:rFonts w:cs="Segoe UI"/>
          <w:b/>
          <w:sz w:val="22"/>
          <w:szCs w:val="22"/>
          <w:lang w:val="cs-CZ"/>
        </w:rPr>
        <w:footnoteReference w:id="3"/>
      </w:r>
      <w:r w:rsidR="00AD6107" w:rsidRPr="00841410">
        <w:rPr>
          <w:rStyle w:val="Znakapoznpodarou"/>
          <w:b/>
          <w:lang w:val="cs-CZ"/>
        </w:rPr>
        <w:t xml:space="preserve"> </w:t>
      </w:r>
      <w:r w:rsidR="00AD6107" w:rsidRPr="00841410">
        <w:rPr>
          <w:rFonts w:cs="Segoe UI"/>
          <w:sz w:val="22"/>
          <w:szCs w:val="22"/>
          <w:lang w:val="cs-CZ"/>
        </w:rPr>
        <w:t xml:space="preserve">ve </w:t>
      </w:r>
      <w:r w:rsidR="00FF4645" w:rsidRPr="00841410">
        <w:rPr>
          <w:rFonts w:cs="Segoe UI"/>
          <w:sz w:val="22"/>
          <w:szCs w:val="22"/>
          <w:lang w:val="cs-CZ"/>
        </w:rPr>
        <w:t xml:space="preserve">všech </w:t>
      </w:r>
      <w:r w:rsidR="00AD6107" w:rsidRPr="00841410">
        <w:rPr>
          <w:rFonts w:cs="Segoe UI"/>
          <w:sz w:val="22"/>
          <w:szCs w:val="22"/>
          <w:lang w:val="cs-CZ"/>
        </w:rPr>
        <w:t xml:space="preserve">zkoumaných </w:t>
      </w:r>
      <w:r w:rsidR="007E79C2" w:rsidRPr="00841410">
        <w:rPr>
          <w:rFonts w:cs="Segoe UI"/>
          <w:sz w:val="22"/>
          <w:szCs w:val="22"/>
          <w:lang w:val="cs-CZ"/>
        </w:rPr>
        <w:t>metropolích</w:t>
      </w:r>
      <w:r w:rsidR="00AD6107" w:rsidRPr="00841410">
        <w:rPr>
          <w:rFonts w:cs="Segoe UI"/>
          <w:sz w:val="22"/>
          <w:szCs w:val="22"/>
          <w:lang w:val="cs-CZ"/>
        </w:rPr>
        <w:t xml:space="preserve"> by </w:t>
      </w:r>
      <w:r w:rsidR="00FF4645" w:rsidRPr="00841410">
        <w:rPr>
          <w:rFonts w:cs="Segoe UI"/>
          <w:sz w:val="22"/>
          <w:szCs w:val="22"/>
          <w:lang w:val="cs-CZ"/>
        </w:rPr>
        <w:t>přineslo</w:t>
      </w:r>
      <w:r w:rsidR="00AD6107" w:rsidRPr="00841410">
        <w:rPr>
          <w:rFonts w:cs="Segoe UI"/>
          <w:sz w:val="22"/>
          <w:szCs w:val="22"/>
          <w:lang w:val="cs-CZ"/>
        </w:rPr>
        <w:t xml:space="preserve"> čistý zisk 470 miliard dolarů</w:t>
      </w:r>
      <w:r w:rsidR="00FF4645" w:rsidRPr="00841410">
        <w:rPr>
          <w:rFonts w:cs="Segoe UI"/>
          <w:sz w:val="22"/>
          <w:szCs w:val="22"/>
          <w:lang w:val="cs-CZ"/>
        </w:rPr>
        <w:t xml:space="preserve"> za rok</w:t>
      </w:r>
      <w:r w:rsidR="00AD6107" w:rsidRPr="00841410">
        <w:rPr>
          <w:rFonts w:cs="Segoe UI"/>
          <w:sz w:val="22"/>
          <w:szCs w:val="22"/>
          <w:lang w:val="cs-CZ"/>
        </w:rPr>
        <w:t xml:space="preserve">. </w:t>
      </w:r>
      <w:r w:rsidR="00B42DF0" w:rsidRPr="00841410">
        <w:rPr>
          <w:rFonts w:cs="Segoe UI"/>
          <w:sz w:val="22"/>
          <w:szCs w:val="22"/>
          <w:lang w:val="cs-CZ"/>
        </w:rPr>
        <w:t xml:space="preserve">Praha samotná by mohla </w:t>
      </w:r>
      <w:r w:rsidR="007E79C2" w:rsidRPr="00841410">
        <w:rPr>
          <w:rFonts w:cs="Segoe UI"/>
          <w:sz w:val="22"/>
          <w:szCs w:val="22"/>
          <w:lang w:val="cs-CZ"/>
        </w:rPr>
        <w:t>ušetřit</w:t>
      </w:r>
      <w:r w:rsidR="00B42DF0" w:rsidRPr="00841410">
        <w:rPr>
          <w:rFonts w:cs="Segoe UI"/>
          <w:sz w:val="22"/>
          <w:szCs w:val="22"/>
          <w:lang w:val="cs-CZ"/>
        </w:rPr>
        <w:t xml:space="preserve"> </w:t>
      </w:r>
      <w:r w:rsidR="007E79C2" w:rsidRPr="00841410">
        <w:rPr>
          <w:rFonts w:cs="Segoe UI"/>
          <w:sz w:val="22"/>
          <w:szCs w:val="22"/>
          <w:lang w:val="cs-CZ"/>
        </w:rPr>
        <w:t xml:space="preserve">přes </w:t>
      </w:r>
      <w:r w:rsidR="00B42DF0" w:rsidRPr="00841410">
        <w:rPr>
          <w:rFonts w:cs="Segoe UI"/>
          <w:sz w:val="22"/>
          <w:szCs w:val="22"/>
          <w:lang w:val="cs-CZ"/>
        </w:rPr>
        <w:t>3</w:t>
      </w:r>
      <w:r w:rsidR="008F4A27">
        <w:rPr>
          <w:rFonts w:cs="Segoe UI"/>
          <w:sz w:val="22"/>
          <w:szCs w:val="22"/>
          <w:lang w:val="cs-CZ"/>
        </w:rPr>
        <w:t>3</w:t>
      </w:r>
      <w:r w:rsidR="00B42DF0" w:rsidRPr="00841410">
        <w:rPr>
          <w:rFonts w:cs="Segoe UI"/>
          <w:sz w:val="22"/>
          <w:szCs w:val="22"/>
          <w:lang w:val="cs-CZ"/>
        </w:rPr>
        <w:t xml:space="preserve"> miliard </w:t>
      </w:r>
      <w:r w:rsidR="0073193F" w:rsidRPr="00841410">
        <w:rPr>
          <w:rFonts w:cs="Segoe UI"/>
          <w:sz w:val="22"/>
          <w:szCs w:val="22"/>
          <w:lang w:val="cs-CZ"/>
        </w:rPr>
        <w:t>korun</w:t>
      </w:r>
      <w:r w:rsidR="00B42DF0" w:rsidRPr="00841410">
        <w:rPr>
          <w:rFonts w:cs="Segoe UI"/>
          <w:sz w:val="22"/>
          <w:szCs w:val="22"/>
          <w:lang w:val="cs-CZ"/>
        </w:rPr>
        <w:t xml:space="preserve">. </w:t>
      </w:r>
    </w:p>
    <w:p w14:paraId="58ACA324" w14:textId="77777777" w:rsidR="00FF4645" w:rsidRPr="00841410" w:rsidRDefault="00FF4645" w:rsidP="002F39BB">
      <w:pPr>
        <w:jc w:val="both"/>
        <w:rPr>
          <w:rFonts w:cs="Segoe UI"/>
          <w:sz w:val="22"/>
          <w:szCs w:val="22"/>
          <w:lang w:val="cs-CZ"/>
        </w:rPr>
      </w:pPr>
    </w:p>
    <w:p w14:paraId="71FB7EE8" w14:textId="77777777" w:rsidR="0073193F" w:rsidRPr="00841410" w:rsidRDefault="00850CCD" w:rsidP="002F39BB">
      <w:pPr>
        <w:jc w:val="both"/>
        <w:rPr>
          <w:rFonts w:cs="Segoe UI"/>
          <w:sz w:val="22"/>
          <w:szCs w:val="22"/>
          <w:lang w:val="cs-CZ"/>
        </w:rPr>
      </w:pPr>
      <w:r w:rsidRPr="00841410">
        <w:rPr>
          <w:rFonts w:cs="Segoe UI"/>
          <w:sz w:val="22"/>
          <w:szCs w:val="22"/>
          <w:lang w:val="cs-CZ"/>
        </w:rPr>
        <w:t>„</w:t>
      </w:r>
      <w:r w:rsidR="00331AEF" w:rsidRPr="00841410">
        <w:rPr>
          <w:rFonts w:cs="Segoe UI"/>
          <w:i/>
          <w:sz w:val="22"/>
          <w:szCs w:val="22"/>
          <w:lang w:val="cs-CZ"/>
        </w:rPr>
        <w:t>V České</w:t>
      </w:r>
      <w:r w:rsidR="002D4567" w:rsidRPr="00841410">
        <w:rPr>
          <w:rFonts w:cs="Segoe UI"/>
          <w:i/>
          <w:sz w:val="22"/>
          <w:szCs w:val="22"/>
          <w:lang w:val="cs-CZ"/>
        </w:rPr>
        <w:t xml:space="preserve"> </w:t>
      </w:r>
      <w:r w:rsidR="00331AEF" w:rsidRPr="00841410">
        <w:rPr>
          <w:rFonts w:cs="Segoe UI"/>
          <w:i/>
          <w:sz w:val="22"/>
          <w:szCs w:val="22"/>
          <w:lang w:val="cs-CZ"/>
        </w:rPr>
        <w:t>republice provádíme</w:t>
      </w:r>
      <w:r w:rsidR="002D4567" w:rsidRPr="00841410">
        <w:rPr>
          <w:rFonts w:cs="Segoe UI"/>
          <w:i/>
          <w:sz w:val="22"/>
          <w:szCs w:val="22"/>
          <w:lang w:val="cs-CZ"/>
        </w:rPr>
        <w:t xml:space="preserve"> </w:t>
      </w:r>
      <w:r w:rsidRPr="00841410">
        <w:rPr>
          <w:rFonts w:cs="Segoe UI"/>
          <w:i/>
          <w:sz w:val="22"/>
          <w:szCs w:val="22"/>
          <w:lang w:val="cs-CZ"/>
        </w:rPr>
        <w:t>9</w:t>
      </w:r>
      <w:r w:rsidR="0094372A">
        <w:rPr>
          <w:rFonts w:cs="Segoe UI"/>
          <w:i/>
          <w:sz w:val="22"/>
          <w:szCs w:val="22"/>
          <w:lang w:val="cs-CZ"/>
        </w:rPr>
        <w:t>1</w:t>
      </w:r>
      <w:r w:rsidR="00331AEF" w:rsidRPr="00841410">
        <w:rPr>
          <w:rFonts w:cs="Segoe UI"/>
          <w:i/>
          <w:sz w:val="22"/>
          <w:szCs w:val="22"/>
          <w:lang w:val="cs-CZ"/>
        </w:rPr>
        <w:t xml:space="preserve"> procent</w:t>
      </w:r>
      <w:r w:rsidRPr="00841410">
        <w:rPr>
          <w:rFonts w:cs="Segoe UI"/>
          <w:i/>
          <w:sz w:val="22"/>
          <w:szCs w:val="22"/>
          <w:lang w:val="cs-CZ"/>
        </w:rPr>
        <w:t xml:space="preserve"> </w:t>
      </w:r>
      <w:r w:rsidR="00331AEF" w:rsidRPr="00841410">
        <w:rPr>
          <w:rFonts w:cs="Segoe UI"/>
          <w:i/>
          <w:sz w:val="22"/>
          <w:szCs w:val="22"/>
          <w:lang w:val="cs-CZ"/>
        </w:rPr>
        <w:t>všech plateb</w:t>
      </w:r>
      <w:r w:rsidR="00DC7A5C">
        <w:rPr>
          <w:rFonts w:cs="Segoe UI"/>
          <w:i/>
          <w:sz w:val="22"/>
          <w:szCs w:val="22"/>
          <w:lang w:val="cs-CZ"/>
        </w:rPr>
        <w:t xml:space="preserve"> kartou</w:t>
      </w:r>
      <w:r w:rsidR="00331AEF" w:rsidRPr="00841410">
        <w:rPr>
          <w:rFonts w:cs="Segoe UI"/>
          <w:i/>
          <w:sz w:val="22"/>
          <w:szCs w:val="22"/>
          <w:lang w:val="cs-CZ"/>
        </w:rPr>
        <w:t xml:space="preserve"> bezkontaktně, což</w:t>
      </w:r>
      <w:r w:rsidR="00A628DE">
        <w:rPr>
          <w:rFonts w:cs="Segoe UI"/>
          <w:i/>
          <w:sz w:val="22"/>
          <w:szCs w:val="22"/>
          <w:lang w:val="cs-CZ"/>
        </w:rPr>
        <w:t> </w:t>
      </w:r>
      <w:r w:rsidR="00331AEF" w:rsidRPr="00841410">
        <w:rPr>
          <w:rFonts w:cs="Segoe UI"/>
          <w:i/>
          <w:sz w:val="22"/>
          <w:szCs w:val="22"/>
          <w:lang w:val="cs-CZ"/>
        </w:rPr>
        <w:t>nás</w:t>
      </w:r>
      <w:r w:rsidR="00A628DE">
        <w:rPr>
          <w:rFonts w:cs="Segoe UI"/>
          <w:i/>
          <w:sz w:val="22"/>
          <w:szCs w:val="22"/>
          <w:lang w:val="cs-CZ"/>
        </w:rPr>
        <w:t xml:space="preserve"> staví na druhou příčku na světě hned za Austrálii. Rezervy ale máme v celkovém počtu obchodních míst, kde lze platit kartou</w:t>
      </w:r>
      <w:r w:rsidR="00DC7A5C">
        <w:rPr>
          <w:rFonts w:cs="Segoe UI"/>
          <w:i/>
          <w:sz w:val="22"/>
          <w:szCs w:val="22"/>
          <w:lang w:val="cs-CZ"/>
        </w:rPr>
        <w:t xml:space="preserve"> nebo mobilem</w:t>
      </w:r>
      <w:r w:rsidR="00A628DE">
        <w:rPr>
          <w:rFonts w:cs="Segoe UI"/>
          <w:i/>
          <w:sz w:val="22"/>
          <w:szCs w:val="22"/>
          <w:lang w:val="cs-CZ"/>
        </w:rPr>
        <w:t>.</w:t>
      </w:r>
      <w:r w:rsidR="00CA7473" w:rsidRPr="00841410">
        <w:rPr>
          <w:rFonts w:cs="Segoe UI"/>
          <w:i/>
          <w:sz w:val="22"/>
          <w:szCs w:val="22"/>
          <w:lang w:val="cs-CZ"/>
        </w:rPr>
        <w:t xml:space="preserve"> </w:t>
      </w:r>
      <w:r w:rsidR="00331AEF" w:rsidRPr="00841410">
        <w:rPr>
          <w:rFonts w:cs="Segoe UI"/>
          <w:i/>
          <w:sz w:val="22"/>
          <w:szCs w:val="22"/>
          <w:lang w:val="cs-CZ"/>
        </w:rPr>
        <w:t>Naše s</w:t>
      </w:r>
      <w:r w:rsidR="00CA7473" w:rsidRPr="00841410">
        <w:rPr>
          <w:rFonts w:cs="Segoe UI"/>
          <w:i/>
          <w:sz w:val="22"/>
          <w:szCs w:val="22"/>
          <w:lang w:val="cs-CZ"/>
        </w:rPr>
        <w:t>tudie</w:t>
      </w:r>
      <w:r w:rsidR="00331AEF" w:rsidRPr="00841410">
        <w:rPr>
          <w:rFonts w:cs="Segoe UI"/>
          <w:i/>
          <w:sz w:val="22"/>
          <w:szCs w:val="22"/>
          <w:lang w:val="cs-CZ"/>
        </w:rPr>
        <w:t xml:space="preserve"> </w:t>
      </w:r>
      <w:r w:rsidR="00A628DE">
        <w:rPr>
          <w:rFonts w:cs="Segoe UI"/>
          <w:i/>
          <w:sz w:val="22"/>
          <w:szCs w:val="22"/>
          <w:lang w:val="cs-CZ"/>
        </w:rPr>
        <w:t>pak ukazuje</w:t>
      </w:r>
      <w:r w:rsidR="00292053" w:rsidRPr="00841410">
        <w:rPr>
          <w:rFonts w:cs="Segoe UI"/>
          <w:i/>
          <w:sz w:val="22"/>
          <w:szCs w:val="22"/>
          <w:lang w:val="cs-CZ"/>
        </w:rPr>
        <w:t xml:space="preserve">, </w:t>
      </w:r>
      <w:r w:rsidR="00A628DE">
        <w:rPr>
          <w:rFonts w:cs="Segoe UI"/>
          <w:i/>
          <w:sz w:val="22"/>
          <w:szCs w:val="22"/>
          <w:lang w:val="cs-CZ"/>
        </w:rPr>
        <w:t xml:space="preserve">jak </w:t>
      </w:r>
      <w:r w:rsidR="002F39BB" w:rsidRPr="00841410">
        <w:rPr>
          <w:rFonts w:cs="Segoe UI"/>
          <w:i/>
          <w:sz w:val="22"/>
          <w:szCs w:val="22"/>
          <w:lang w:val="cs-CZ"/>
        </w:rPr>
        <w:t xml:space="preserve">obrovský </w:t>
      </w:r>
      <w:r w:rsidR="002F39BB">
        <w:rPr>
          <w:rFonts w:cs="Segoe UI"/>
          <w:i/>
          <w:sz w:val="22"/>
          <w:szCs w:val="22"/>
          <w:lang w:val="cs-CZ"/>
        </w:rPr>
        <w:t xml:space="preserve">ekonomický </w:t>
      </w:r>
      <w:r w:rsidR="002F39BB" w:rsidRPr="00841410">
        <w:rPr>
          <w:rFonts w:cs="Segoe UI"/>
          <w:i/>
          <w:sz w:val="22"/>
          <w:szCs w:val="22"/>
          <w:lang w:val="cs-CZ"/>
        </w:rPr>
        <w:t xml:space="preserve">potenciál </w:t>
      </w:r>
      <w:r w:rsidR="002F39BB">
        <w:rPr>
          <w:rFonts w:cs="Segoe UI"/>
          <w:i/>
          <w:sz w:val="22"/>
          <w:szCs w:val="22"/>
          <w:lang w:val="cs-CZ"/>
        </w:rPr>
        <w:t xml:space="preserve">bezhotovostní </w:t>
      </w:r>
      <w:r w:rsidR="00292053" w:rsidRPr="00841410">
        <w:rPr>
          <w:rFonts w:cs="Segoe UI"/>
          <w:i/>
          <w:sz w:val="22"/>
          <w:szCs w:val="22"/>
          <w:lang w:val="cs-CZ"/>
        </w:rPr>
        <w:t>platb</w:t>
      </w:r>
      <w:r w:rsidR="000502A4">
        <w:rPr>
          <w:rFonts w:cs="Segoe UI"/>
          <w:i/>
          <w:sz w:val="22"/>
          <w:szCs w:val="22"/>
          <w:lang w:val="cs-CZ"/>
        </w:rPr>
        <w:t>y</w:t>
      </w:r>
      <w:r w:rsidR="00292053" w:rsidRPr="00841410">
        <w:rPr>
          <w:rFonts w:cs="Segoe UI"/>
          <w:i/>
          <w:sz w:val="22"/>
          <w:szCs w:val="22"/>
          <w:lang w:val="cs-CZ"/>
        </w:rPr>
        <w:t xml:space="preserve"> kart</w:t>
      </w:r>
      <w:r w:rsidR="000502A4">
        <w:rPr>
          <w:rFonts w:cs="Segoe UI"/>
          <w:i/>
          <w:sz w:val="22"/>
          <w:szCs w:val="22"/>
          <w:lang w:val="cs-CZ"/>
        </w:rPr>
        <w:t>ou</w:t>
      </w:r>
      <w:r w:rsidR="00292053" w:rsidRPr="00841410">
        <w:rPr>
          <w:rFonts w:cs="Segoe UI"/>
          <w:i/>
          <w:sz w:val="22"/>
          <w:szCs w:val="22"/>
          <w:lang w:val="cs-CZ"/>
        </w:rPr>
        <w:t>, mobilním zařízením či přes internet</w:t>
      </w:r>
      <w:r w:rsidR="00A628DE">
        <w:rPr>
          <w:rFonts w:cs="Segoe UI"/>
          <w:i/>
          <w:sz w:val="22"/>
          <w:szCs w:val="22"/>
          <w:lang w:val="cs-CZ"/>
        </w:rPr>
        <w:t xml:space="preserve"> mohou mít</w:t>
      </w:r>
      <w:r w:rsidR="00B91D81" w:rsidRPr="00841410">
        <w:rPr>
          <w:rFonts w:cs="Segoe UI"/>
          <w:sz w:val="22"/>
          <w:szCs w:val="22"/>
          <w:lang w:val="cs-CZ"/>
        </w:rPr>
        <w:t>,“ říká Marcel Gajdoš, regionální manažer Visa pro Českou republiku a Slovensko.</w:t>
      </w:r>
    </w:p>
    <w:p w14:paraId="58407A86" w14:textId="77777777" w:rsidR="0073193F" w:rsidRPr="00841410" w:rsidRDefault="0073193F" w:rsidP="002F39BB">
      <w:pPr>
        <w:jc w:val="both"/>
        <w:rPr>
          <w:rFonts w:cs="Segoe UI"/>
          <w:sz w:val="22"/>
          <w:szCs w:val="22"/>
          <w:lang w:val="cs-CZ"/>
        </w:rPr>
      </w:pPr>
    </w:p>
    <w:p w14:paraId="3CA9446A" w14:textId="77777777" w:rsidR="00292053" w:rsidRPr="00841410" w:rsidRDefault="00292053" w:rsidP="002F39BB">
      <w:pPr>
        <w:jc w:val="both"/>
        <w:rPr>
          <w:rFonts w:cs="Segoe UI"/>
          <w:b/>
          <w:sz w:val="22"/>
          <w:szCs w:val="22"/>
          <w:lang w:val="cs-CZ"/>
        </w:rPr>
      </w:pPr>
      <w:r w:rsidRPr="00841410">
        <w:rPr>
          <w:rFonts w:cs="Segoe UI"/>
          <w:b/>
          <w:sz w:val="22"/>
          <w:szCs w:val="22"/>
          <w:lang w:val="cs-CZ"/>
        </w:rPr>
        <w:t xml:space="preserve">Jen Praze </w:t>
      </w:r>
      <w:r w:rsidR="0073193F" w:rsidRPr="00841410">
        <w:rPr>
          <w:rFonts w:cs="Segoe UI"/>
          <w:b/>
          <w:sz w:val="22"/>
          <w:szCs w:val="22"/>
          <w:lang w:val="cs-CZ"/>
        </w:rPr>
        <w:t>mohou digitální platby</w:t>
      </w:r>
      <w:r w:rsidRPr="00841410">
        <w:rPr>
          <w:rFonts w:cs="Segoe UI"/>
          <w:b/>
          <w:sz w:val="22"/>
          <w:szCs w:val="22"/>
          <w:lang w:val="cs-CZ"/>
        </w:rPr>
        <w:t xml:space="preserve"> přinést:</w:t>
      </w:r>
    </w:p>
    <w:p w14:paraId="44B27943" w14:textId="77777777" w:rsidR="0073193F" w:rsidRPr="00841410" w:rsidRDefault="0073193F" w:rsidP="002F39BB">
      <w:pPr>
        <w:jc w:val="both"/>
        <w:rPr>
          <w:rFonts w:cs="Segoe UI"/>
          <w:sz w:val="22"/>
          <w:szCs w:val="22"/>
          <w:lang w:val="cs-CZ"/>
        </w:rPr>
      </w:pPr>
    </w:p>
    <w:p w14:paraId="0DE2E89E" w14:textId="77777777" w:rsidR="0073193F" w:rsidRPr="00841410" w:rsidRDefault="0073193F" w:rsidP="002F39BB">
      <w:pPr>
        <w:pStyle w:val="Odstavecseseznamem"/>
        <w:numPr>
          <w:ilvl w:val="0"/>
          <w:numId w:val="3"/>
        </w:numPr>
        <w:jc w:val="both"/>
        <w:rPr>
          <w:rFonts w:cs="Segoe UI"/>
          <w:sz w:val="22"/>
          <w:szCs w:val="22"/>
          <w:lang w:val="cs-CZ"/>
        </w:rPr>
      </w:pPr>
      <w:r w:rsidRPr="00841410">
        <w:rPr>
          <w:rFonts w:cs="Segoe UI"/>
          <w:b/>
          <w:sz w:val="22"/>
          <w:szCs w:val="22"/>
          <w:lang w:val="cs-CZ"/>
        </w:rPr>
        <w:t>26 miliard korun</w:t>
      </w:r>
      <w:r w:rsidRPr="00841410">
        <w:rPr>
          <w:rFonts w:cs="Segoe UI"/>
          <w:sz w:val="22"/>
          <w:szCs w:val="22"/>
          <w:lang w:val="cs-CZ"/>
        </w:rPr>
        <w:t xml:space="preserve"> pro podnikatele a firmy díky úsporám času při zpracovávání příchozích i odchozích plateb</w:t>
      </w:r>
      <w:r w:rsidR="005F78D7">
        <w:rPr>
          <w:rFonts w:cs="Segoe UI"/>
          <w:sz w:val="22"/>
          <w:szCs w:val="22"/>
          <w:lang w:val="cs-CZ"/>
        </w:rPr>
        <w:t>,</w:t>
      </w:r>
      <w:r w:rsidR="0094372A">
        <w:rPr>
          <w:rFonts w:cs="Segoe UI"/>
          <w:sz w:val="22"/>
          <w:szCs w:val="22"/>
          <w:lang w:val="cs-CZ"/>
        </w:rPr>
        <w:t xml:space="preserve"> i </w:t>
      </w:r>
      <w:r w:rsidRPr="00841410">
        <w:rPr>
          <w:rFonts w:cs="Segoe UI"/>
          <w:sz w:val="22"/>
          <w:szCs w:val="22"/>
          <w:lang w:val="cs-CZ"/>
        </w:rPr>
        <w:t xml:space="preserve">zvýšení počtu zákazníků </w:t>
      </w:r>
      <w:r w:rsidR="0094372A">
        <w:rPr>
          <w:rFonts w:cs="Segoe UI"/>
          <w:sz w:val="22"/>
          <w:szCs w:val="22"/>
          <w:lang w:val="cs-CZ"/>
        </w:rPr>
        <w:t>a</w:t>
      </w:r>
      <w:r w:rsidRPr="00841410">
        <w:rPr>
          <w:rFonts w:cs="Segoe UI"/>
          <w:sz w:val="22"/>
          <w:szCs w:val="22"/>
          <w:lang w:val="cs-CZ"/>
        </w:rPr>
        <w:t xml:space="preserve"> tržeb </w:t>
      </w:r>
      <w:r w:rsidR="0094372A">
        <w:rPr>
          <w:rFonts w:cs="Segoe UI"/>
          <w:sz w:val="22"/>
          <w:szCs w:val="22"/>
          <w:lang w:val="cs-CZ"/>
        </w:rPr>
        <w:t>(</w:t>
      </w:r>
      <w:r w:rsidR="007E79C2" w:rsidRPr="00841410">
        <w:rPr>
          <w:rFonts w:cs="Segoe UI"/>
          <w:sz w:val="22"/>
          <w:szCs w:val="22"/>
          <w:lang w:val="cs-CZ"/>
        </w:rPr>
        <w:t>v </w:t>
      </w:r>
      <w:r w:rsidRPr="00841410">
        <w:rPr>
          <w:rFonts w:cs="Segoe UI"/>
          <w:sz w:val="22"/>
          <w:szCs w:val="22"/>
          <w:lang w:val="cs-CZ"/>
        </w:rPr>
        <w:t>online</w:t>
      </w:r>
      <w:r w:rsidR="007E79C2" w:rsidRPr="00841410">
        <w:rPr>
          <w:rFonts w:cs="Segoe UI"/>
          <w:sz w:val="22"/>
          <w:szCs w:val="22"/>
          <w:lang w:val="cs-CZ"/>
        </w:rPr>
        <w:t xml:space="preserve"> prostředí </w:t>
      </w:r>
      <w:r w:rsidR="0094372A">
        <w:rPr>
          <w:rFonts w:cs="Segoe UI"/>
          <w:sz w:val="22"/>
          <w:szCs w:val="22"/>
          <w:lang w:val="cs-CZ"/>
        </w:rPr>
        <w:t>a</w:t>
      </w:r>
      <w:r w:rsidR="007E79C2" w:rsidRPr="00841410">
        <w:rPr>
          <w:rFonts w:cs="Segoe UI"/>
          <w:sz w:val="22"/>
          <w:szCs w:val="22"/>
          <w:lang w:val="cs-CZ"/>
        </w:rPr>
        <w:t xml:space="preserve"> </w:t>
      </w:r>
      <w:r w:rsidRPr="00841410">
        <w:rPr>
          <w:rFonts w:cs="Segoe UI"/>
          <w:sz w:val="22"/>
          <w:szCs w:val="22"/>
          <w:lang w:val="cs-CZ"/>
        </w:rPr>
        <w:t xml:space="preserve">kamenných </w:t>
      </w:r>
      <w:r w:rsidR="007E79C2" w:rsidRPr="00841410">
        <w:rPr>
          <w:rFonts w:cs="Segoe UI"/>
          <w:sz w:val="22"/>
          <w:szCs w:val="22"/>
          <w:lang w:val="cs-CZ"/>
        </w:rPr>
        <w:t>prodejnách</w:t>
      </w:r>
      <w:r w:rsidR="0094372A">
        <w:rPr>
          <w:rFonts w:cs="Segoe UI"/>
          <w:sz w:val="22"/>
          <w:szCs w:val="22"/>
          <w:lang w:val="cs-CZ"/>
        </w:rPr>
        <w:t>)</w:t>
      </w:r>
      <w:r w:rsidR="005F78D7">
        <w:rPr>
          <w:rFonts w:cs="Segoe UI"/>
          <w:sz w:val="22"/>
          <w:szCs w:val="22"/>
          <w:lang w:val="cs-CZ"/>
        </w:rPr>
        <w:t>.</w:t>
      </w:r>
    </w:p>
    <w:p w14:paraId="5502B0BE" w14:textId="77777777" w:rsidR="0094372A" w:rsidRPr="0094372A" w:rsidRDefault="0073193F" w:rsidP="0094372A">
      <w:pPr>
        <w:pStyle w:val="Odstavecseseznamem"/>
        <w:numPr>
          <w:ilvl w:val="0"/>
          <w:numId w:val="3"/>
        </w:numPr>
        <w:jc w:val="both"/>
        <w:rPr>
          <w:rFonts w:cs="Segoe UI"/>
          <w:sz w:val="22"/>
          <w:szCs w:val="22"/>
          <w:lang w:val="cs-CZ"/>
        </w:rPr>
      </w:pPr>
      <w:r w:rsidRPr="00841410">
        <w:rPr>
          <w:rFonts w:cs="Segoe UI"/>
          <w:b/>
          <w:sz w:val="22"/>
          <w:szCs w:val="22"/>
          <w:lang w:val="cs-CZ"/>
        </w:rPr>
        <w:t>6 miliard</w:t>
      </w:r>
      <w:r w:rsidRPr="00841410">
        <w:rPr>
          <w:rFonts w:cs="Segoe UI"/>
          <w:sz w:val="22"/>
          <w:szCs w:val="22"/>
          <w:lang w:val="cs-CZ"/>
        </w:rPr>
        <w:t xml:space="preserve"> veře</w:t>
      </w:r>
      <w:r w:rsidR="00A03926" w:rsidRPr="00841410">
        <w:rPr>
          <w:rFonts w:cs="Segoe UI"/>
          <w:sz w:val="22"/>
          <w:szCs w:val="22"/>
          <w:lang w:val="cs-CZ"/>
        </w:rPr>
        <w:t>jnému sektoru na základě vyšších příjmů</w:t>
      </w:r>
      <w:r w:rsidRPr="00841410">
        <w:rPr>
          <w:rFonts w:cs="Segoe UI"/>
          <w:sz w:val="22"/>
          <w:szCs w:val="22"/>
          <w:lang w:val="cs-CZ"/>
        </w:rPr>
        <w:t xml:space="preserve"> z daní, podpory ekonomického růstu, nižší a</w:t>
      </w:r>
      <w:r w:rsidR="0094372A">
        <w:rPr>
          <w:rFonts w:cs="Segoe UI"/>
          <w:sz w:val="22"/>
          <w:szCs w:val="22"/>
          <w:lang w:val="cs-CZ"/>
        </w:rPr>
        <w:t>dministrativní zátěže</w:t>
      </w:r>
      <w:r w:rsidRPr="00841410">
        <w:rPr>
          <w:rFonts w:cs="Segoe UI"/>
          <w:sz w:val="22"/>
          <w:szCs w:val="22"/>
          <w:lang w:val="cs-CZ"/>
        </w:rPr>
        <w:t xml:space="preserve"> i </w:t>
      </w:r>
      <w:r w:rsidR="00A03926" w:rsidRPr="00841410">
        <w:rPr>
          <w:rFonts w:cs="Segoe UI"/>
          <w:sz w:val="22"/>
          <w:szCs w:val="22"/>
          <w:lang w:val="cs-CZ"/>
        </w:rPr>
        <w:t xml:space="preserve">menších </w:t>
      </w:r>
      <w:r w:rsidRPr="00841410">
        <w:rPr>
          <w:rFonts w:cs="Segoe UI"/>
          <w:sz w:val="22"/>
          <w:szCs w:val="22"/>
          <w:lang w:val="cs-CZ"/>
        </w:rPr>
        <w:t>nákladů na řešení k</w:t>
      </w:r>
      <w:r w:rsidR="0094372A">
        <w:rPr>
          <w:rFonts w:cs="Segoe UI"/>
          <w:sz w:val="22"/>
          <w:szCs w:val="22"/>
          <w:lang w:val="cs-CZ"/>
        </w:rPr>
        <w:t>riminality spojené s</w:t>
      </w:r>
      <w:r w:rsidR="005F78D7">
        <w:rPr>
          <w:rFonts w:cs="Segoe UI"/>
          <w:sz w:val="22"/>
          <w:szCs w:val="22"/>
          <w:lang w:val="cs-CZ"/>
        </w:rPr>
        <w:t> </w:t>
      </w:r>
      <w:r w:rsidR="0094372A">
        <w:rPr>
          <w:rFonts w:cs="Segoe UI"/>
          <w:sz w:val="22"/>
          <w:szCs w:val="22"/>
          <w:lang w:val="cs-CZ"/>
        </w:rPr>
        <w:t>hotovostí</w:t>
      </w:r>
      <w:r w:rsidR="005F78D7">
        <w:rPr>
          <w:rFonts w:cs="Segoe UI"/>
          <w:sz w:val="22"/>
          <w:szCs w:val="22"/>
          <w:lang w:val="cs-CZ"/>
        </w:rPr>
        <w:t>.</w:t>
      </w:r>
    </w:p>
    <w:p w14:paraId="63433D77" w14:textId="77777777" w:rsidR="00BC1377" w:rsidRPr="00841410" w:rsidRDefault="00A03926" w:rsidP="002F39BB">
      <w:pPr>
        <w:pStyle w:val="Odstavecseseznamem"/>
        <w:numPr>
          <w:ilvl w:val="0"/>
          <w:numId w:val="3"/>
        </w:numPr>
        <w:jc w:val="both"/>
        <w:rPr>
          <w:rFonts w:cs="Segoe UI"/>
          <w:sz w:val="22"/>
          <w:szCs w:val="22"/>
          <w:lang w:val="cs-CZ"/>
        </w:rPr>
      </w:pPr>
      <w:r w:rsidRPr="00841410">
        <w:rPr>
          <w:rFonts w:cs="Segoe UI"/>
          <w:b/>
          <w:sz w:val="22"/>
          <w:szCs w:val="22"/>
          <w:lang w:val="cs-CZ"/>
        </w:rPr>
        <w:t xml:space="preserve">1 </w:t>
      </w:r>
      <w:r w:rsidR="00BC1377" w:rsidRPr="00841410">
        <w:rPr>
          <w:rFonts w:cs="Segoe UI"/>
          <w:b/>
          <w:sz w:val="22"/>
          <w:szCs w:val="22"/>
          <w:lang w:val="cs-CZ"/>
        </w:rPr>
        <w:t xml:space="preserve">miliardu </w:t>
      </w:r>
      <w:r w:rsidR="00292053" w:rsidRPr="00841410">
        <w:rPr>
          <w:rFonts w:cs="Segoe UI"/>
          <w:b/>
          <w:sz w:val="22"/>
          <w:szCs w:val="22"/>
          <w:lang w:val="cs-CZ"/>
        </w:rPr>
        <w:t>korun</w:t>
      </w:r>
      <w:r w:rsidR="00292053" w:rsidRPr="00841410">
        <w:rPr>
          <w:rFonts w:cs="Segoe UI"/>
          <w:sz w:val="22"/>
          <w:szCs w:val="22"/>
          <w:lang w:val="cs-CZ"/>
        </w:rPr>
        <w:t xml:space="preserve"> </w:t>
      </w:r>
      <w:r w:rsidR="00BC1377" w:rsidRPr="00841410">
        <w:rPr>
          <w:rFonts w:cs="Segoe UI"/>
          <w:sz w:val="22"/>
          <w:szCs w:val="22"/>
          <w:lang w:val="cs-CZ"/>
        </w:rPr>
        <w:t>čistého zisku pro spotřebitele v důsledku úspor času při prováděn</w:t>
      </w:r>
      <w:r w:rsidR="0094372A">
        <w:rPr>
          <w:rFonts w:cs="Segoe UI"/>
          <w:sz w:val="22"/>
          <w:szCs w:val="22"/>
          <w:lang w:val="cs-CZ"/>
        </w:rPr>
        <w:t>í bankovních transakcí, plat</w:t>
      </w:r>
      <w:r w:rsidRPr="00841410">
        <w:rPr>
          <w:rFonts w:cs="Segoe UI"/>
          <w:sz w:val="22"/>
          <w:szCs w:val="22"/>
          <w:lang w:val="cs-CZ"/>
        </w:rPr>
        <w:t>b</w:t>
      </w:r>
      <w:r w:rsidR="0094372A">
        <w:rPr>
          <w:rFonts w:cs="Segoe UI"/>
          <w:sz w:val="22"/>
          <w:szCs w:val="22"/>
          <w:lang w:val="cs-CZ"/>
        </w:rPr>
        <w:t>ách</w:t>
      </w:r>
      <w:r w:rsidR="00BC1377" w:rsidRPr="00841410">
        <w:rPr>
          <w:rFonts w:cs="Segoe UI"/>
          <w:sz w:val="22"/>
          <w:szCs w:val="22"/>
          <w:lang w:val="cs-CZ"/>
        </w:rPr>
        <w:t xml:space="preserve"> v obchodech a dopravě</w:t>
      </w:r>
      <w:r w:rsidR="006D364D">
        <w:rPr>
          <w:rFonts w:cs="Segoe UI"/>
          <w:sz w:val="22"/>
          <w:szCs w:val="22"/>
          <w:lang w:val="cs-CZ"/>
        </w:rPr>
        <w:t>,</w:t>
      </w:r>
      <w:r w:rsidR="00BC1377" w:rsidRPr="00841410">
        <w:rPr>
          <w:rFonts w:cs="Segoe UI"/>
          <w:sz w:val="22"/>
          <w:szCs w:val="22"/>
          <w:lang w:val="cs-CZ"/>
        </w:rPr>
        <w:t xml:space="preserve"> a</w:t>
      </w:r>
      <w:r w:rsidR="0094372A">
        <w:rPr>
          <w:rFonts w:cs="Segoe UI"/>
          <w:sz w:val="22"/>
          <w:szCs w:val="22"/>
          <w:lang w:val="cs-CZ"/>
        </w:rPr>
        <w:t xml:space="preserve"> díky</w:t>
      </w:r>
      <w:r w:rsidR="00BC1377" w:rsidRPr="00841410">
        <w:rPr>
          <w:rFonts w:cs="Segoe UI"/>
          <w:sz w:val="22"/>
          <w:szCs w:val="22"/>
          <w:lang w:val="cs-CZ"/>
        </w:rPr>
        <w:t xml:space="preserve"> snížení kriminality spojené s hotovostí.</w:t>
      </w:r>
    </w:p>
    <w:p w14:paraId="2599F345" w14:textId="77777777" w:rsidR="000D5F3A" w:rsidRPr="00841410" w:rsidRDefault="000D5F3A" w:rsidP="002F39BB">
      <w:pPr>
        <w:pStyle w:val="Odstavecseseznamem"/>
        <w:jc w:val="both"/>
        <w:rPr>
          <w:rFonts w:cs="Segoe UI"/>
          <w:sz w:val="22"/>
          <w:szCs w:val="22"/>
          <w:lang w:val="cs-CZ"/>
        </w:rPr>
      </w:pPr>
    </w:p>
    <w:p w14:paraId="1E166D45" w14:textId="77777777" w:rsidR="009D3E15" w:rsidRPr="00841410" w:rsidRDefault="00B91D81" w:rsidP="002F39BB">
      <w:pPr>
        <w:jc w:val="both"/>
        <w:rPr>
          <w:rFonts w:cs="Segoe UI"/>
          <w:sz w:val="22"/>
          <w:szCs w:val="22"/>
          <w:lang w:val="cs-CZ"/>
        </w:rPr>
      </w:pPr>
      <w:r w:rsidRPr="00841410">
        <w:rPr>
          <w:rFonts w:cs="Segoe UI"/>
          <w:sz w:val="22"/>
          <w:szCs w:val="22"/>
          <w:lang w:val="cs-CZ"/>
        </w:rPr>
        <w:t>Nástup digitálních plateb bude mít podle Visy zásadní v</w:t>
      </w:r>
      <w:r w:rsidR="002F39BB">
        <w:rPr>
          <w:rFonts w:cs="Segoe UI"/>
          <w:sz w:val="22"/>
          <w:szCs w:val="22"/>
          <w:lang w:val="cs-CZ"/>
        </w:rPr>
        <w:t>liv na hospodářský růst města</w:t>
      </w:r>
      <w:r w:rsidR="005D71EC">
        <w:rPr>
          <w:rFonts w:cs="Segoe UI"/>
          <w:sz w:val="22"/>
          <w:szCs w:val="22"/>
          <w:lang w:val="cs-CZ"/>
        </w:rPr>
        <w:t>,</w:t>
      </w:r>
      <w:r w:rsidR="002F39BB">
        <w:rPr>
          <w:rFonts w:cs="Segoe UI"/>
          <w:sz w:val="22"/>
          <w:szCs w:val="22"/>
          <w:lang w:val="cs-CZ"/>
        </w:rPr>
        <w:t xml:space="preserve"> zejména</w:t>
      </w:r>
      <w:r w:rsidR="00C42D03" w:rsidRPr="00841410">
        <w:rPr>
          <w:rFonts w:cs="Segoe UI"/>
          <w:sz w:val="22"/>
          <w:szCs w:val="22"/>
          <w:lang w:val="cs-CZ"/>
        </w:rPr>
        <w:t> </w:t>
      </w:r>
      <w:r w:rsidRPr="00841410">
        <w:rPr>
          <w:rFonts w:cs="Segoe UI"/>
          <w:sz w:val="22"/>
          <w:szCs w:val="22"/>
          <w:lang w:val="cs-CZ"/>
        </w:rPr>
        <w:t>z dlouhodobé perspektivy</w:t>
      </w:r>
      <w:r w:rsidR="009D3E15" w:rsidRPr="00841410">
        <w:rPr>
          <w:rFonts w:cs="Segoe UI"/>
          <w:sz w:val="22"/>
          <w:szCs w:val="22"/>
          <w:lang w:val="cs-CZ"/>
        </w:rPr>
        <w:t>. Během 15 let by měly bezhotovostní platby</w:t>
      </w:r>
      <w:r w:rsidR="00BC1377" w:rsidRPr="00841410">
        <w:rPr>
          <w:rFonts w:cs="Segoe UI"/>
          <w:sz w:val="22"/>
          <w:szCs w:val="22"/>
          <w:lang w:val="cs-CZ"/>
        </w:rPr>
        <w:t xml:space="preserve"> </w:t>
      </w:r>
      <w:r w:rsidR="009D3E15" w:rsidRPr="00841410">
        <w:rPr>
          <w:rFonts w:cs="Segoe UI"/>
          <w:sz w:val="22"/>
          <w:szCs w:val="22"/>
          <w:lang w:val="cs-CZ"/>
        </w:rPr>
        <w:t>v Praze podpořit:</w:t>
      </w:r>
    </w:p>
    <w:p w14:paraId="5D6AA351" w14:textId="77777777" w:rsidR="00B91D81" w:rsidRPr="00841410" w:rsidRDefault="00B91D81" w:rsidP="002F39BB">
      <w:pPr>
        <w:jc w:val="both"/>
        <w:rPr>
          <w:rFonts w:cs="Segoe UI"/>
          <w:sz w:val="22"/>
          <w:szCs w:val="22"/>
          <w:lang w:val="cs-CZ"/>
        </w:rPr>
      </w:pPr>
    </w:p>
    <w:p w14:paraId="5F083D8E" w14:textId="2E862823" w:rsidR="00FE5208" w:rsidRPr="00841410" w:rsidRDefault="004C13D3" w:rsidP="002F39BB">
      <w:pPr>
        <w:pStyle w:val="Odstavecseseznamem"/>
        <w:numPr>
          <w:ilvl w:val="0"/>
          <w:numId w:val="4"/>
        </w:numPr>
        <w:jc w:val="both"/>
        <w:rPr>
          <w:rFonts w:cs="Segoe UI"/>
          <w:sz w:val="22"/>
          <w:szCs w:val="22"/>
          <w:lang w:val="cs-CZ"/>
        </w:rPr>
      </w:pPr>
      <w:r>
        <w:rPr>
          <w:rFonts w:cs="Segoe UI"/>
          <w:b/>
          <w:sz w:val="22"/>
          <w:szCs w:val="22"/>
          <w:lang w:val="cs-CZ"/>
        </w:rPr>
        <w:lastRenderedPageBreak/>
        <w:t>0,24</w:t>
      </w:r>
      <w:r w:rsidR="00FE5208" w:rsidRPr="00841410">
        <w:rPr>
          <w:rFonts w:cs="Segoe UI"/>
          <w:b/>
          <w:sz w:val="22"/>
          <w:szCs w:val="22"/>
          <w:lang w:val="cs-CZ"/>
        </w:rPr>
        <w:t>%</w:t>
      </w:r>
      <w:r w:rsidR="00FE5208" w:rsidRPr="00841410">
        <w:rPr>
          <w:rFonts w:cs="Segoe UI"/>
          <w:sz w:val="22"/>
          <w:szCs w:val="22"/>
          <w:lang w:val="cs-CZ"/>
        </w:rPr>
        <w:t xml:space="preserve"> zvýšení</w:t>
      </w:r>
      <w:r>
        <w:rPr>
          <w:rFonts w:cs="Segoe UI"/>
          <w:sz w:val="22"/>
          <w:szCs w:val="22"/>
          <w:lang w:val="cs-CZ"/>
        </w:rPr>
        <w:t xml:space="preserve"> růstu</w:t>
      </w:r>
      <w:r w:rsidR="00FE5208" w:rsidRPr="00841410">
        <w:rPr>
          <w:rFonts w:cs="Segoe UI"/>
          <w:sz w:val="22"/>
          <w:szCs w:val="22"/>
          <w:lang w:val="cs-CZ"/>
        </w:rPr>
        <w:t xml:space="preserve"> HDP</w:t>
      </w:r>
    </w:p>
    <w:p w14:paraId="5A2E5656" w14:textId="77777777" w:rsidR="009D3E15" w:rsidRPr="00841410" w:rsidRDefault="009D3E15" w:rsidP="002F39BB">
      <w:pPr>
        <w:pStyle w:val="Odstavecseseznamem"/>
        <w:numPr>
          <w:ilvl w:val="0"/>
          <w:numId w:val="4"/>
        </w:numPr>
        <w:jc w:val="both"/>
        <w:rPr>
          <w:rFonts w:cs="Segoe UI"/>
          <w:sz w:val="22"/>
          <w:szCs w:val="22"/>
          <w:lang w:val="cs-CZ"/>
        </w:rPr>
      </w:pPr>
      <w:r w:rsidRPr="00841410">
        <w:rPr>
          <w:rFonts w:cs="Segoe UI"/>
          <w:b/>
          <w:sz w:val="22"/>
          <w:szCs w:val="22"/>
          <w:lang w:val="cs-CZ"/>
        </w:rPr>
        <w:t>1,2%</w:t>
      </w:r>
      <w:r w:rsidRPr="00841410">
        <w:rPr>
          <w:rFonts w:cs="Segoe UI"/>
          <w:sz w:val="22"/>
          <w:szCs w:val="22"/>
          <w:lang w:val="cs-CZ"/>
        </w:rPr>
        <w:t xml:space="preserve"> nárůst zaměstnanosti</w:t>
      </w:r>
    </w:p>
    <w:p w14:paraId="3EB314B5" w14:textId="77777777" w:rsidR="00B54312" w:rsidRPr="00B54312" w:rsidRDefault="00BC1377" w:rsidP="00B54312">
      <w:pPr>
        <w:pStyle w:val="Odstavecseseznamem"/>
        <w:numPr>
          <w:ilvl w:val="0"/>
          <w:numId w:val="4"/>
        </w:numPr>
        <w:jc w:val="both"/>
        <w:rPr>
          <w:rFonts w:cs="Segoe UI"/>
          <w:sz w:val="22"/>
          <w:szCs w:val="22"/>
          <w:lang w:val="cs-CZ"/>
        </w:rPr>
      </w:pPr>
      <w:r w:rsidRPr="00841410">
        <w:rPr>
          <w:rFonts w:cs="Segoe UI"/>
          <w:b/>
          <w:sz w:val="22"/>
          <w:szCs w:val="22"/>
          <w:lang w:val="cs-CZ"/>
        </w:rPr>
        <w:t>0,2%</w:t>
      </w:r>
      <w:r w:rsidRPr="00841410">
        <w:rPr>
          <w:rFonts w:cs="Segoe UI"/>
          <w:sz w:val="22"/>
          <w:szCs w:val="22"/>
          <w:lang w:val="cs-CZ"/>
        </w:rPr>
        <w:t xml:space="preserve"> </w:t>
      </w:r>
      <w:r w:rsidR="009D3E15" w:rsidRPr="00841410">
        <w:rPr>
          <w:rFonts w:cs="Segoe UI"/>
          <w:sz w:val="22"/>
          <w:szCs w:val="22"/>
          <w:lang w:val="cs-CZ"/>
        </w:rPr>
        <w:t>růst</w:t>
      </w:r>
      <w:r w:rsidR="00B54312">
        <w:rPr>
          <w:rFonts w:cs="Segoe UI"/>
          <w:sz w:val="22"/>
          <w:szCs w:val="22"/>
          <w:lang w:val="cs-CZ"/>
        </w:rPr>
        <w:t xml:space="preserve"> mezd</w:t>
      </w:r>
    </w:p>
    <w:p w14:paraId="772E3A11" w14:textId="77777777" w:rsidR="00BC1377" w:rsidRPr="00841410" w:rsidRDefault="009D3E15" w:rsidP="002F39BB">
      <w:pPr>
        <w:pStyle w:val="Odstavecseseznamem"/>
        <w:numPr>
          <w:ilvl w:val="0"/>
          <w:numId w:val="4"/>
        </w:numPr>
        <w:jc w:val="both"/>
        <w:rPr>
          <w:rFonts w:cs="Segoe UI"/>
          <w:sz w:val="22"/>
          <w:szCs w:val="22"/>
          <w:lang w:val="cs-CZ"/>
        </w:rPr>
      </w:pPr>
      <w:r w:rsidRPr="00841410">
        <w:rPr>
          <w:rFonts w:cs="Segoe UI"/>
          <w:b/>
          <w:sz w:val="22"/>
          <w:szCs w:val="22"/>
          <w:lang w:val="cs-CZ"/>
        </w:rPr>
        <w:t>0,2%</w:t>
      </w:r>
      <w:r w:rsidRPr="00841410">
        <w:rPr>
          <w:rFonts w:cs="Segoe UI"/>
          <w:sz w:val="22"/>
          <w:szCs w:val="22"/>
          <w:lang w:val="cs-CZ"/>
        </w:rPr>
        <w:t xml:space="preserve"> </w:t>
      </w:r>
      <w:r w:rsidR="005D71EC">
        <w:rPr>
          <w:rFonts w:cs="Segoe UI"/>
          <w:sz w:val="22"/>
          <w:szCs w:val="22"/>
          <w:lang w:val="cs-CZ"/>
        </w:rPr>
        <w:t>zvýšení</w:t>
      </w:r>
      <w:r w:rsidR="005D71EC" w:rsidRPr="00841410">
        <w:rPr>
          <w:rFonts w:cs="Segoe UI"/>
          <w:sz w:val="22"/>
          <w:szCs w:val="22"/>
          <w:lang w:val="cs-CZ"/>
        </w:rPr>
        <w:t xml:space="preserve"> produktivit</w:t>
      </w:r>
      <w:r w:rsidR="005D71EC">
        <w:rPr>
          <w:rFonts w:cs="Segoe UI"/>
          <w:sz w:val="22"/>
          <w:szCs w:val="22"/>
          <w:lang w:val="cs-CZ"/>
        </w:rPr>
        <w:t>y</w:t>
      </w:r>
      <w:r w:rsidR="005D71EC" w:rsidRPr="00841410">
        <w:rPr>
          <w:rFonts w:cs="Segoe UI"/>
          <w:sz w:val="22"/>
          <w:szCs w:val="22"/>
          <w:lang w:val="cs-CZ"/>
        </w:rPr>
        <w:t xml:space="preserve"> </w:t>
      </w:r>
      <w:r w:rsidRPr="00841410">
        <w:rPr>
          <w:rFonts w:cs="Segoe UI"/>
          <w:sz w:val="22"/>
          <w:szCs w:val="22"/>
          <w:lang w:val="cs-CZ"/>
        </w:rPr>
        <w:t>práce</w:t>
      </w:r>
      <w:r w:rsidR="00BC1377" w:rsidRPr="00841410">
        <w:rPr>
          <w:rFonts w:cs="Segoe UI"/>
          <w:sz w:val="22"/>
          <w:szCs w:val="22"/>
          <w:lang w:val="cs-CZ"/>
        </w:rPr>
        <w:t xml:space="preserve"> </w:t>
      </w:r>
    </w:p>
    <w:p w14:paraId="4376A7F8" w14:textId="77777777" w:rsidR="00FF4645" w:rsidRPr="00841410" w:rsidRDefault="00FF4645" w:rsidP="002F39BB">
      <w:pPr>
        <w:jc w:val="both"/>
        <w:rPr>
          <w:rFonts w:cs="Segoe UI"/>
          <w:sz w:val="22"/>
          <w:szCs w:val="22"/>
          <w:lang w:val="cs-CZ"/>
        </w:rPr>
      </w:pPr>
    </w:p>
    <w:p w14:paraId="3A16B06F" w14:textId="77777777" w:rsidR="00841410" w:rsidRDefault="00841410" w:rsidP="002F39BB">
      <w:pPr>
        <w:jc w:val="both"/>
        <w:rPr>
          <w:rFonts w:cs="Segoe UI"/>
          <w:sz w:val="22"/>
          <w:szCs w:val="22"/>
          <w:lang w:val="cs-CZ"/>
        </w:rPr>
      </w:pPr>
      <w:r w:rsidRPr="00841410">
        <w:rPr>
          <w:rFonts w:cs="Segoe UI"/>
          <w:sz w:val="22"/>
          <w:szCs w:val="22"/>
          <w:lang w:val="cs-CZ"/>
        </w:rPr>
        <w:t xml:space="preserve">Základním předpokladem pro </w:t>
      </w:r>
      <w:r>
        <w:rPr>
          <w:rFonts w:cs="Segoe UI"/>
          <w:sz w:val="22"/>
          <w:szCs w:val="22"/>
          <w:lang w:val="cs-CZ"/>
        </w:rPr>
        <w:t>nástup</w:t>
      </w:r>
      <w:r w:rsidRPr="00841410">
        <w:rPr>
          <w:rFonts w:cs="Segoe UI"/>
          <w:sz w:val="22"/>
          <w:szCs w:val="22"/>
          <w:lang w:val="cs-CZ"/>
        </w:rPr>
        <w:t xml:space="preserve"> bezhotovostních plateb je </w:t>
      </w:r>
      <w:r w:rsidR="005D71EC">
        <w:rPr>
          <w:rFonts w:cs="Segoe UI"/>
          <w:sz w:val="22"/>
          <w:szCs w:val="22"/>
          <w:lang w:val="cs-CZ"/>
        </w:rPr>
        <w:t xml:space="preserve">však </w:t>
      </w:r>
      <w:r w:rsidRPr="00841410">
        <w:rPr>
          <w:rFonts w:cs="Segoe UI"/>
          <w:sz w:val="22"/>
          <w:szCs w:val="22"/>
          <w:lang w:val="cs-CZ"/>
        </w:rPr>
        <w:t>rozšíření akceptační s</w:t>
      </w:r>
      <w:r>
        <w:rPr>
          <w:rFonts w:cs="Segoe UI"/>
          <w:sz w:val="22"/>
          <w:szCs w:val="22"/>
          <w:lang w:val="cs-CZ"/>
        </w:rPr>
        <w:t>ítě.</w:t>
      </w:r>
      <w:r w:rsidR="001B3E8B">
        <w:rPr>
          <w:rFonts w:cs="Segoe UI"/>
          <w:sz w:val="22"/>
          <w:szCs w:val="22"/>
          <w:lang w:val="cs-CZ"/>
        </w:rPr>
        <w:t xml:space="preserve"> </w:t>
      </w:r>
      <w:r w:rsidR="001B3E8B" w:rsidRPr="001B3E8B">
        <w:rPr>
          <w:rFonts w:cs="Segoe UI"/>
          <w:sz w:val="22"/>
          <w:szCs w:val="22"/>
          <w:lang w:val="cs-CZ"/>
        </w:rPr>
        <w:t>V</w:t>
      </w:r>
      <w:r w:rsidR="001B3E8B">
        <w:rPr>
          <w:rFonts w:cs="Segoe UI"/>
          <w:sz w:val="22"/>
          <w:szCs w:val="22"/>
          <w:lang w:val="cs-CZ"/>
        </w:rPr>
        <w:t> </w:t>
      </w:r>
      <w:r w:rsidR="001B3E8B" w:rsidRPr="001B3E8B">
        <w:rPr>
          <w:rFonts w:cs="Segoe UI"/>
          <w:sz w:val="22"/>
          <w:szCs w:val="22"/>
          <w:lang w:val="cs-CZ"/>
        </w:rPr>
        <w:t>Česk</w:t>
      </w:r>
      <w:r w:rsidR="005D71EC">
        <w:rPr>
          <w:rFonts w:cs="Segoe UI"/>
          <w:sz w:val="22"/>
          <w:szCs w:val="22"/>
          <w:lang w:val="cs-CZ"/>
        </w:rPr>
        <w:t>é republice</w:t>
      </w:r>
      <w:r w:rsidR="001B3E8B" w:rsidRPr="001B3E8B">
        <w:rPr>
          <w:rFonts w:cs="Segoe UI"/>
          <w:sz w:val="22"/>
          <w:szCs w:val="22"/>
          <w:lang w:val="cs-CZ"/>
        </w:rPr>
        <w:t xml:space="preserve"> je </w:t>
      </w:r>
      <w:r w:rsidR="005D71EC">
        <w:rPr>
          <w:rFonts w:cs="Segoe UI"/>
          <w:sz w:val="22"/>
          <w:szCs w:val="22"/>
          <w:lang w:val="cs-CZ"/>
        </w:rPr>
        <w:t xml:space="preserve">stále </w:t>
      </w:r>
      <w:r w:rsidR="002F39BB">
        <w:rPr>
          <w:rFonts w:cs="Segoe UI"/>
          <w:sz w:val="22"/>
          <w:szCs w:val="22"/>
          <w:lang w:val="cs-CZ"/>
        </w:rPr>
        <w:t xml:space="preserve">prostor pro přibližně </w:t>
      </w:r>
      <w:r w:rsidR="001B3E8B" w:rsidRPr="001B3E8B">
        <w:rPr>
          <w:rFonts w:cs="Segoe UI"/>
          <w:sz w:val="22"/>
          <w:szCs w:val="22"/>
          <w:lang w:val="cs-CZ"/>
        </w:rPr>
        <w:t>90 tisíc nových akceptačních</w:t>
      </w:r>
      <w:r w:rsidR="001B3E8B">
        <w:rPr>
          <w:rFonts w:cs="Segoe UI"/>
          <w:sz w:val="22"/>
          <w:szCs w:val="22"/>
          <w:lang w:val="cs-CZ"/>
        </w:rPr>
        <w:t xml:space="preserve"> míst.</w:t>
      </w:r>
    </w:p>
    <w:p w14:paraId="137B55EA" w14:textId="77777777" w:rsidR="00841410" w:rsidRPr="00841410" w:rsidRDefault="00841410" w:rsidP="002F39BB">
      <w:pPr>
        <w:jc w:val="both"/>
        <w:rPr>
          <w:rFonts w:cs="Segoe UI"/>
          <w:sz w:val="22"/>
          <w:szCs w:val="22"/>
          <w:lang w:val="cs-CZ"/>
        </w:rPr>
      </w:pPr>
    </w:p>
    <w:p w14:paraId="7D9B9F56" w14:textId="77777777" w:rsidR="00841410" w:rsidRPr="002F39BB" w:rsidRDefault="00841410" w:rsidP="002F39BB">
      <w:pPr>
        <w:jc w:val="both"/>
        <w:rPr>
          <w:rFonts w:ascii="Times New Roman" w:hAnsi="Times New Roman"/>
          <w:color w:val="auto"/>
          <w:sz w:val="24"/>
          <w:lang w:val="cs-CZ"/>
        </w:rPr>
      </w:pPr>
      <w:r>
        <w:rPr>
          <w:rFonts w:cs="Segoe UI"/>
          <w:sz w:val="22"/>
          <w:szCs w:val="22"/>
          <w:lang w:val="cs-CZ"/>
        </w:rPr>
        <w:t>„</w:t>
      </w:r>
      <w:r w:rsidRPr="00841410">
        <w:rPr>
          <w:rFonts w:cs="Segoe UI"/>
          <w:i/>
          <w:sz w:val="22"/>
          <w:szCs w:val="22"/>
          <w:lang w:val="cs-CZ"/>
        </w:rPr>
        <w:t>Ve světě očekáváme až desetinásobný nárůst akceptačních míst a podobně</w:t>
      </w:r>
      <w:r w:rsidR="001B3E8B">
        <w:rPr>
          <w:rFonts w:cs="Segoe UI"/>
          <w:i/>
          <w:sz w:val="22"/>
          <w:szCs w:val="22"/>
          <w:lang w:val="cs-CZ"/>
        </w:rPr>
        <w:t xml:space="preserve"> by se měl vyvíjet i trh v České republice</w:t>
      </w:r>
      <w:r w:rsidRPr="00841410">
        <w:rPr>
          <w:rFonts w:cs="Segoe UI"/>
          <w:i/>
          <w:sz w:val="22"/>
          <w:szCs w:val="22"/>
          <w:lang w:val="cs-CZ"/>
        </w:rPr>
        <w:t>.</w:t>
      </w:r>
      <w:r w:rsidR="00DC7A5C">
        <w:rPr>
          <w:rFonts w:cs="Segoe UI"/>
          <w:i/>
          <w:sz w:val="22"/>
          <w:szCs w:val="22"/>
          <w:lang w:val="cs-CZ"/>
        </w:rPr>
        <w:t xml:space="preserve"> Objem</w:t>
      </w:r>
      <w:r w:rsidRPr="00841410">
        <w:rPr>
          <w:rFonts w:cs="Segoe UI"/>
          <w:i/>
          <w:sz w:val="22"/>
          <w:szCs w:val="22"/>
          <w:lang w:val="cs-CZ"/>
        </w:rPr>
        <w:t xml:space="preserve"> </w:t>
      </w:r>
      <w:r w:rsidR="0091218B">
        <w:rPr>
          <w:rFonts w:cs="Segoe UI"/>
          <w:i/>
          <w:sz w:val="22"/>
          <w:szCs w:val="22"/>
          <w:lang w:val="cs-CZ"/>
        </w:rPr>
        <w:t>k</w:t>
      </w:r>
      <w:r w:rsidR="0091218B" w:rsidRPr="00841410">
        <w:rPr>
          <w:rFonts w:cs="Segoe UI"/>
          <w:i/>
          <w:sz w:val="22"/>
          <w:szCs w:val="22"/>
          <w:lang w:val="cs-CZ"/>
        </w:rPr>
        <w:t>aretní</w:t>
      </w:r>
      <w:r w:rsidR="0091218B">
        <w:rPr>
          <w:rFonts w:cs="Segoe UI"/>
          <w:i/>
          <w:sz w:val="22"/>
          <w:szCs w:val="22"/>
          <w:lang w:val="cs-CZ"/>
        </w:rPr>
        <w:t>ch</w:t>
      </w:r>
      <w:r w:rsidR="0091218B" w:rsidRPr="00841410">
        <w:rPr>
          <w:rFonts w:cs="Segoe UI"/>
          <w:i/>
          <w:sz w:val="22"/>
          <w:szCs w:val="22"/>
          <w:lang w:val="cs-CZ"/>
        </w:rPr>
        <w:t xml:space="preserve"> </w:t>
      </w:r>
      <w:r w:rsidRPr="00841410">
        <w:rPr>
          <w:rFonts w:cs="Segoe UI"/>
          <w:i/>
          <w:sz w:val="22"/>
          <w:szCs w:val="22"/>
          <w:lang w:val="cs-CZ"/>
        </w:rPr>
        <w:t>transakc</w:t>
      </w:r>
      <w:r w:rsidR="0091218B">
        <w:rPr>
          <w:rFonts w:cs="Segoe UI"/>
          <w:i/>
          <w:sz w:val="22"/>
          <w:szCs w:val="22"/>
          <w:lang w:val="cs-CZ"/>
        </w:rPr>
        <w:t>í</w:t>
      </w:r>
      <w:r w:rsidRPr="00841410">
        <w:rPr>
          <w:rFonts w:cs="Segoe UI"/>
          <w:i/>
          <w:sz w:val="22"/>
          <w:szCs w:val="22"/>
          <w:lang w:val="cs-CZ"/>
        </w:rPr>
        <w:t xml:space="preserve"> </w:t>
      </w:r>
      <w:r w:rsidR="002F39BB">
        <w:rPr>
          <w:rFonts w:cs="Segoe UI"/>
          <w:i/>
          <w:sz w:val="22"/>
          <w:szCs w:val="22"/>
          <w:lang w:val="cs-CZ"/>
        </w:rPr>
        <w:t xml:space="preserve">u nás </w:t>
      </w:r>
      <w:r w:rsidRPr="00841410">
        <w:rPr>
          <w:rFonts w:cs="Segoe UI"/>
          <w:i/>
          <w:sz w:val="22"/>
          <w:szCs w:val="22"/>
          <w:lang w:val="cs-CZ"/>
        </w:rPr>
        <w:t xml:space="preserve">tvoří sice více než 20 </w:t>
      </w:r>
      <w:r w:rsidR="00742FB0">
        <w:rPr>
          <w:rFonts w:cs="Segoe UI"/>
          <w:i/>
          <w:sz w:val="22"/>
          <w:szCs w:val="22"/>
          <w:lang w:val="cs-CZ"/>
        </w:rPr>
        <w:t>procent</w:t>
      </w:r>
      <w:r w:rsidRPr="00841410">
        <w:rPr>
          <w:rFonts w:cs="Segoe UI"/>
          <w:i/>
          <w:sz w:val="22"/>
          <w:szCs w:val="22"/>
          <w:lang w:val="cs-CZ"/>
        </w:rPr>
        <w:t> útrat domácností, naším cílem je ale přiblížit se Skandinávii</w:t>
      </w:r>
      <w:r w:rsidR="001B3E8B">
        <w:rPr>
          <w:rFonts w:cs="Segoe UI"/>
          <w:i/>
          <w:sz w:val="22"/>
          <w:szCs w:val="22"/>
          <w:lang w:val="cs-CZ"/>
        </w:rPr>
        <w:t xml:space="preserve">, kde je to 60 </w:t>
      </w:r>
      <w:r w:rsidR="00742FB0">
        <w:rPr>
          <w:rFonts w:cs="Segoe UI"/>
          <w:i/>
          <w:sz w:val="22"/>
          <w:szCs w:val="22"/>
          <w:lang w:val="cs-CZ"/>
        </w:rPr>
        <w:t>procent.</w:t>
      </w:r>
      <w:r w:rsidR="001B3E8B">
        <w:rPr>
          <w:rFonts w:cs="Segoe UI"/>
          <w:i/>
          <w:sz w:val="22"/>
          <w:szCs w:val="22"/>
          <w:lang w:val="cs-CZ"/>
        </w:rPr>
        <w:t xml:space="preserve"> </w:t>
      </w:r>
      <w:r w:rsidR="001B3E8B" w:rsidRPr="001B3E8B">
        <w:rPr>
          <w:rFonts w:cs="Segoe UI"/>
          <w:i/>
          <w:sz w:val="22"/>
          <w:szCs w:val="22"/>
          <w:lang w:val="cs-CZ"/>
        </w:rPr>
        <w:t>Řada obchodníků</w:t>
      </w:r>
      <w:r w:rsidR="002F39BB">
        <w:rPr>
          <w:rFonts w:cs="Segoe UI"/>
          <w:i/>
          <w:sz w:val="22"/>
          <w:szCs w:val="22"/>
          <w:lang w:val="cs-CZ"/>
        </w:rPr>
        <w:t xml:space="preserve"> a institucí</w:t>
      </w:r>
      <w:r w:rsidR="001B3E8B" w:rsidRPr="001B3E8B">
        <w:rPr>
          <w:rFonts w:cs="Segoe UI"/>
          <w:i/>
          <w:sz w:val="22"/>
          <w:szCs w:val="22"/>
          <w:lang w:val="cs-CZ"/>
        </w:rPr>
        <w:t xml:space="preserve"> ale </w:t>
      </w:r>
      <w:r w:rsidR="002F39BB">
        <w:rPr>
          <w:rFonts w:cs="Segoe UI"/>
          <w:i/>
          <w:sz w:val="22"/>
          <w:szCs w:val="22"/>
          <w:lang w:val="cs-CZ"/>
        </w:rPr>
        <w:t>už</w:t>
      </w:r>
      <w:r w:rsidR="001B3E8B" w:rsidRPr="001B3E8B">
        <w:rPr>
          <w:rFonts w:cs="Segoe UI"/>
          <w:i/>
          <w:sz w:val="22"/>
          <w:szCs w:val="22"/>
          <w:lang w:val="cs-CZ"/>
        </w:rPr>
        <w:t xml:space="preserve"> do lepšího zákaznického zážitku investuje, a tak věříme, že i v tomto ohledu brzy severské země a západ dostihneme</w:t>
      </w:r>
      <w:r w:rsidRPr="00841410">
        <w:rPr>
          <w:rFonts w:cs="Segoe UI"/>
          <w:i/>
          <w:sz w:val="22"/>
          <w:szCs w:val="22"/>
          <w:lang w:val="cs-CZ"/>
        </w:rPr>
        <w:t>“</w:t>
      </w:r>
      <w:r w:rsidR="001B3E8B">
        <w:rPr>
          <w:rFonts w:cs="Segoe UI"/>
          <w:i/>
          <w:sz w:val="22"/>
          <w:szCs w:val="22"/>
          <w:lang w:val="cs-CZ"/>
        </w:rPr>
        <w:t>,</w:t>
      </w:r>
      <w:r>
        <w:rPr>
          <w:rFonts w:cs="Segoe UI"/>
          <w:i/>
          <w:sz w:val="22"/>
          <w:szCs w:val="22"/>
          <w:lang w:val="cs-CZ"/>
        </w:rPr>
        <w:t xml:space="preserve"> uvádí Gajdoš. </w:t>
      </w:r>
    </w:p>
    <w:p w14:paraId="563CA253" w14:textId="77777777" w:rsidR="00841410" w:rsidRDefault="00841410" w:rsidP="00841410">
      <w:pPr>
        <w:jc w:val="both"/>
        <w:rPr>
          <w:rFonts w:cs="Segoe UI"/>
          <w:i/>
          <w:sz w:val="22"/>
          <w:szCs w:val="22"/>
          <w:lang w:val="cs-CZ"/>
        </w:rPr>
      </w:pPr>
    </w:p>
    <w:p w14:paraId="6F2C1C32" w14:textId="77777777" w:rsidR="00C75825" w:rsidRPr="00841410" w:rsidRDefault="002C4E5E" w:rsidP="002C4E5E">
      <w:pPr>
        <w:tabs>
          <w:tab w:val="left" w:pos="4245"/>
        </w:tabs>
        <w:jc w:val="both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ab/>
      </w:r>
    </w:p>
    <w:p w14:paraId="0A42A666" w14:textId="77777777" w:rsidR="001B3E8B" w:rsidRPr="00841410" w:rsidRDefault="001B3E8B" w:rsidP="001B3E8B">
      <w:pPr>
        <w:pStyle w:val="VisaBodyText"/>
        <w:spacing w:after="0" w:line="240" w:lineRule="auto"/>
        <w:jc w:val="center"/>
        <w:rPr>
          <w:rFonts w:cs="Segoe UI"/>
          <w:sz w:val="22"/>
          <w:szCs w:val="22"/>
          <w:lang w:val="cs-CZ"/>
        </w:rPr>
      </w:pPr>
      <w:r w:rsidRPr="00841410">
        <w:rPr>
          <w:rFonts w:cs="Segoe UI"/>
          <w:sz w:val="22"/>
          <w:szCs w:val="22"/>
          <w:lang w:val="cs-CZ"/>
        </w:rPr>
        <w:t>###</w:t>
      </w:r>
    </w:p>
    <w:p w14:paraId="39F650D3" w14:textId="77777777" w:rsidR="001B3E8B" w:rsidRPr="00841410" w:rsidRDefault="001B3E8B" w:rsidP="001B3E8B">
      <w:pPr>
        <w:spacing w:line="312" w:lineRule="auto"/>
        <w:rPr>
          <w:rFonts w:cs="Segoe UI"/>
          <w:color w:val="000000"/>
          <w:sz w:val="22"/>
          <w:szCs w:val="22"/>
          <w:lang w:val="cs-CZ" w:eastAsia="ko-KR"/>
        </w:rPr>
      </w:pPr>
      <w:r w:rsidRPr="00841410">
        <w:rPr>
          <w:rFonts w:cs="Segoe UI"/>
          <w:b/>
          <w:noProof/>
          <w:sz w:val="22"/>
          <w:szCs w:val="22"/>
          <w:lang w:val="cs-CZ" w:eastAsia="cs-CZ"/>
        </w:rPr>
        <w:drawing>
          <wp:anchor distT="0" distB="0" distL="114300" distR="114300" simplePos="0" relativeHeight="251661312" behindDoc="0" locked="0" layoutInCell="1" allowOverlap="1" wp14:anchorId="5B666CFD" wp14:editId="03701E79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481328" cy="832104"/>
            <wp:effectExtent l="0" t="0" r="5080" b="6350"/>
            <wp:wrapNone/>
            <wp:docPr id="2" name="Picture 1" descr="C:\Users\mordoyne\Desktop\templates\forms_vb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ordoyne\Desktop\templates\forms_vb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28" cy="83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1410">
        <w:rPr>
          <w:rFonts w:cs="Segoe UI"/>
          <w:b/>
          <w:bCs/>
          <w:color w:val="000000"/>
          <w:sz w:val="22"/>
          <w:szCs w:val="22"/>
          <w:lang w:val="cs-CZ" w:eastAsia="ko-KR"/>
        </w:rPr>
        <w:t>O společnosti Visa Inc.</w:t>
      </w:r>
    </w:p>
    <w:p w14:paraId="39878A37" w14:textId="77777777" w:rsidR="001B3E8B" w:rsidRPr="00841410" w:rsidRDefault="001B3E8B" w:rsidP="001B3E8B">
      <w:pPr>
        <w:autoSpaceDE w:val="0"/>
        <w:autoSpaceDN w:val="0"/>
        <w:jc w:val="both"/>
        <w:rPr>
          <w:rFonts w:cs="Segoe UI"/>
          <w:color w:val="auto"/>
          <w:sz w:val="22"/>
          <w:szCs w:val="22"/>
          <w:shd w:val="clear" w:color="auto" w:fill="FFFFFF"/>
          <w:lang w:val="cs-CZ"/>
        </w:rPr>
      </w:pPr>
      <w:r w:rsidRPr="00841410">
        <w:rPr>
          <w:rFonts w:cs="Segoe UI"/>
          <w:color w:val="auto"/>
          <w:sz w:val="22"/>
          <w:szCs w:val="22"/>
          <w:shd w:val="clear" w:color="auto" w:fill="FFFFFF"/>
          <w:lang w:val="cs-CZ"/>
        </w:rPr>
        <w:t>Visa Inc. (NYSE: V) je světovou jedničkou v oblasti digitálních plateb. Jejím posláním je propojit svět prostřednictvím inovativní, spolehlivé a bezpečné platební sítě, umožňující jednotlivcům, podnikům a ekonomikám prosperovat. Společnost provozuje jednu z nejvyspělejších procesingových sítí na světě – VisaNet. Ta umožňuje bezpečný a spolehlivý průběh plateb po celém světě a dokáže zpracovat více než 65 tisíc transakcí za sekundu. Soustavné zaměření společnosti na inovace je katalyzátorem rychlého růstu connected commerce a hnací silou v cestě za bezhotovostní budoucností pro každého a na jakémkoli místě. V době, kdy svět přechází z analogového systému na digitální, společnost Visa paralelně digitalizuje vlastní značku, produkty a procesingovou síť tak, aby formovala budoucnost placení v digitálním světě. Pro více informací navštivte </w:t>
      </w:r>
      <w:hyperlink r:id="rId9" w:history="1">
        <w:r w:rsidRPr="00841410">
          <w:rPr>
            <w:rStyle w:val="Hypertextovodkaz"/>
            <w:rFonts w:cs="Segoe UI"/>
            <w:color w:val="auto"/>
            <w:sz w:val="22"/>
            <w:szCs w:val="22"/>
            <w:shd w:val="clear" w:color="auto" w:fill="FFFFFF"/>
            <w:lang w:val="cs-CZ"/>
          </w:rPr>
          <w:t>www.visaeurope.com</w:t>
        </w:r>
      </w:hyperlink>
      <w:r w:rsidRPr="00841410">
        <w:rPr>
          <w:rFonts w:cs="Segoe UI"/>
          <w:color w:val="auto"/>
          <w:sz w:val="22"/>
          <w:szCs w:val="22"/>
          <w:shd w:val="clear" w:color="auto" w:fill="FFFFFF"/>
          <w:lang w:val="cs-CZ"/>
        </w:rPr>
        <w:t>, blog Visa Vision (</w:t>
      </w:r>
      <w:hyperlink r:id="rId10" w:history="1">
        <w:r w:rsidRPr="00841410">
          <w:rPr>
            <w:rStyle w:val="Hypertextovodkaz"/>
            <w:rFonts w:cs="Segoe UI"/>
            <w:color w:val="auto"/>
            <w:sz w:val="22"/>
            <w:szCs w:val="22"/>
            <w:shd w:val="clear" w:color="auto" w:fill="FFFFFF"/>
            <w:lang w:val="cs-CZ"/>
          </w:rPr>
          <w:t>www.vision.visaeurope.com</w:t>
        </w:r>
      </w:hyperlink>
      <w:r w:rsidRPr="00841410">
        <w:rPr>
          <w:rFonts w:cs="Segoe UI"/>
          <w:color w:val="auto"/>
          <w:sz w:val="22"/>
          <w:szCs w:val="22"/>
          <w:shd w:val="clear" w:color="auto" w:fill="FFFFFF"/>
          <w:lang w:val="cs-CZ"/>
        </w:rPr>
        <w:t>) a </w:t>
      </w:r>
      <w:hyperlink r:id="rId11" w:history="1">
        <w:r w:rsidRPr="00841410">
          <w:rPr>
            <w:rStyle w:val="Hypertextovodkaz"/>
            <w:rFonts w:cs="Segoe UI"/>
            <w:color w:val="auto"/>
            <w:sz w:val="22"/>
            <w:szCs w:val="22"/>
            <w:shd w:val="clear" w:color="auto" w:fill="FFFFFF"/>
            <w:lang w:val="cs-CZ"/>
          </w:rPr>
          <w:t>@VisaInEurope</w:t>
        </w:r>
      </w:hyperlink>
      <w:r w:rsidRPr="00841410">
        <w:rPr>
          <w:rFonts w:cs="Segoe UI"/>
          <w:color w:val="auto"/>
          <w:sz w:val="22"/>
          <w:szCs w:val="22"/>
          <w:shd w:val="clear" w:color="auto" w:fill="FFFFFF"/>
          <w:lang w:val="cs-CZ"/>
        </w:rPr>
        <w:t>.</w:t>
      </w:r>
    </w:p>
    <w:p w14:paraId="1FCE3879" w14:textId="77777777" w:rsidR="001B3E8B" w:rsidRPr="00841410" w:rsidRDefault="001B3E8B" w:rsidP="001B3E8B">
      <w:pPr>
        <w:autoSpaceDE w:val="0"/>
        <w:autoSpaceDN w:val="0"/>
        <w:jc w:val="both"/>
        <w:rPr>
          <w:rFonts w:cs="Segoe UI"/>
          <w:color w:val="auto"/>
          <w:sz w:val="22"/>
          <w:szCs w:val="22"/>
          <w:shd w:val="clear" w:color="auto" w:fill="FFFFFF"/>
          <w:lang w:val="cs-CZ"/>
        </w:rPr>
      </w:pPr>
    </w:p>
    <w:p w14:paraId="4559414A" w14:textId="77777777" w:rsidR="001B3E8B" w:rsidRPr="00841410" w:rsidRDefault="001B3E8B" w:rsidP="001B3E8B">
      <w:pPr>
        <w:autoSpaceDE w:val="0"/>
        <w:autoSpaceDN w:val="0"/>
        <w:jc w:val="both"/>
        <w:rPr>
          <w:rFonts w:cs="Segoe UI"/>
          <w:b/>
          <w:color w:val="auto"/>
          <w:sz w:val="22"/>
          <w:szCs w:val="22"/>
          <w:shd w:val="clear" w:color="auto" w:fill="FFFFFF"/>
          <w:lang w:val="cs-CZ"/>
        </w:rPr>
      </w:pPr>
      <w:r w:rsidRPr="00841410">
        <w:rPr>
          <w:rFonts w:cs="Segoe UI"/>
          <w:b/>
          <w:color w:val="auto"/>
          <w:sz w:val="22"/>
          <w:szCs w:val="22"/>
          <w:shd w:val="clear" w:color="auto" w:fill="FFFFFF"/>
          <w:lang w:val="cs-CZ"/>
        </w:rPr>
        <w:t>Kontakt:</w:t>
      </w:r>
    </w:p>
    <w:p w14:paraId="0C2A8ABA" w14:textId="77777777" w:rsidR="001B3E8B" w:rsidRPr="00841410" w:rsidRDefault="001B3E8B" w:rsidP="001B3E8B">
      <w:pPr>
        <w:autoSpaceDE w:val="0"/>
        <w:autoSpaceDN w:val="0"/>
        <w:jc w:val="both"/>
        <w:rPr>
          <w:rFonts w:cs="Segoe UI"/>
          <w:color w:val="auto"/>
          <w:sz w:val="22"/>
          <w:szCs w:val="22"/>
          <w:shd w:val="clear" w:color="auto" w:fill="FFFFFF"/>
          <w:lang w:val="cs-CZ"/>
        </w:rPr>
      </w:pPr>
      <w:r w:rsidRPr="00841410">
        <w:rPr>
          <w:rFonts w:cs="Segoe UI"/>
          <w:color w:val="auto"/>
          <w:sz w:val="22"/>
          <w:szCs w:val="22"/>
          <w:shd w:val="clear" w:color="auto" w:fill="FFFFFF"/>
          <w:lang w:val="cs-CZ"/>
        </w:rPr>
        <w:t>Martin Hajný</w:t>
      </w:r>
    </w:p>
    <w:p w14:paraId="5718C90D" w14:textId="77777777" w:rsidR="001B3E8B" w:rsidRPr="00841410" w:rsidRDefault="001B3E8B" w:rsidP="001B3E8B">
      <w:pPr>
        <w:autoSpaceDE w:val="0"/>
        <w:autoSpaceDN w:val="0"/>
        <w:jc w:val="both"/>
        <w:rPr>
          <w:rFonts w:cs="Segoe UI"/>
          <w:color w:val="auto"/>
          <w:sz w:val="22"/>
          <w:szCs w:val="22"/>
          <w:shd w:val="clear" w:color="auto" w:fill="FFFFFF"/>
          <w:lang w:val="cs-CZ"/>
        </w:rPr>
      </w:pPr>
      <w:r w:rsidRPr="00841410">
        <w:rPr>
          <w:rFonts w:cs="Segoe UI"/>
          <w:color w:val="auto"/>
          <w:sz w:val="22"/>
          <w:szCs w:val="22"/>
          <w:shd w:val="clear" w:color="auto" w:fill="FFFFFF"/>
          <w:lang w:val="cs-CZ"/>
        </w:rPr>
        <w:t xml:space="preserve">e-mail: </w:t>
      </w:r>
      <w:hyperlink r:id="rId12" w:history="1">
        <w:r w:rsidRPr="00841410">
          <w:rPr>
            <w:rStyle w:val="Hypertextovodkaz"/>
            <w:rFonts w:cs="Segoe UI"/>
            <w:sz w:val="22"/>
            <w:szCs w:val="22"/>
            <w:shd w:val="clear" w:color="auto" w:fill="FFFFFF"/>
            <w:lang w:val="cs-CZ"/>
          </w:rPr>
          <w:t>martin.hajny@grayling.com</w:t>
        </w:r>
      </w:hyperlink>
    </w:p>
    <w:p w14:paraId="6CE5DC80" w14:textId="77777777" w:rsidR="001B3E8B" w:rsidRPr="00841410" w:rsidRDefault="001B3E8B" w:rsidP="001B3E8B">
      <w:pPr>
        <w:autoSpaceDE w:val="0"/>
        <w:autoSpaceDN w:val="0"/>
        <w:jc w:val="both"/>
        <w:rPr>
          <w:rFonts w:cs="Segoe UI"/>
          <w:color w:val="auto"/>
          <w:sz w:val="22"/>
          <w:szCs w:val="22"/>
          <w:lang w:val="cs-CZ"/>
        </w:rPr>
      </w:pPr>
      <w:r w:rsidRPr="00841410">
        <w:rPr>
          <w:rFonts w:cs="Segoe UI"/>
          <w:color w:val="auto"/>
          <w:sz w:val="22"/>
          <w:szCs w:val="22"/>
          <w:shd w:val="clear" w:color="auto" w:fill="FFFFFF"/>
          <w:lang w:val="cs-CZ"/>
        </w:rPr>
        <w:t>tel.:</w:t>
      </w:r>
      <w:r w:rsidRPr="00841410">
        <w:rPr>
          <w:rFonts w:cs="Segoe UI"/>
          <w:sz w:val="22"/>
          <w:szCs w:val="22"/>
          <w:lang w:val="cs-CZ"/>
        </w:rPr>
        <w:t xml:space="preserve"> </w:t>
      </w:r>
      <w:hyperlink r:id="rId13" w:history="1">
        <w:r w:rsidRPr="00841410">
          <w:rPr>
            <w:rStyle w:val="Hypertextovodkaz"/>
            <w:rFonts w:cs="Segoe UI"/>
            <w:color w:val="0050B9"/>
            <w:sz w:val="22"/>
            <w:szCs w:val="22"/>
            <w:shd w:val="clear" w:color="auto" w:fill="FFFFFF"/>
            <w:lang w:val="cs-CZ"/>
          </w:rPr>
          <w:t>+420 775 708 043</w:t>
        </w:r>
      </w:hyperlink>
    </w:p>
    <w:p w14:paraId="4949001A" w14:textId="77777777" w:rsidR="00BC1377" w:rsidRPr="00841410" w:rsidRDefault="00BC1377" w:rsidP="00D4116C">
      <w:pPr>
        <w:spacing w:before="120" w:after="120"/>
        <w:jc w:val="both"/>
        <w:rPr>
          <w:rFonts w:cs="Segoe UI"/>
          <w:sz w:val="22"/>
          <w:szCs w:val="22"/>
          <w:lang w:val="cs-CZ"/>
        </w:rPr>
      </w:pPr>
    </w:p>
    <w:p w14:paraId="1095CAFA" w14:textId="5D0EC789" w:rsidR="00BC1377" w:rsidRPr="00841410" w:rsidRDefault="00BC1377" w:rsidP="00D4116C">
      <w:pPr>
        <w:spacing w:before="120" w:after="120"/>
        <w:jc w:val="both"/>
        <w:rPr>
          <w:rFonts w:cs="Segoe UI"/>
          <w:sz w:val="22"/>
          <w:szCs w:val="22"/>
          <w:lang w:val="cs-CZ"/>
        </w:rPr>
      </w:pPr>
      <w:bookmarkStart w:id="0" w:name="_GoBack"/>
      <w:bookmarkEnd w:id="0"/>
    </w:p>
    <w:p w14:paraId="5D989104" w14:textId="77777777" w:rsidR="00BC1377" w:rsidRPr="00841410" w:rsidRDefault="00BC1377" w:rsidP="00C42D03">
      <w:pPr>
        <w:jc w:val="both"/>
        <w:rPr>
          <w:rFonts w:cs="Segoe UI"/>
          <w:b/>
          <w:sz w:val="22"/>
          <w:szCs w:val="22"/>
          <w:lang w:val="cs-CZ"/>
        </w:rPr>
      </w:pPr>
    </w:p>
    <w:p w14:paraId="41002922" w14:textId="77777777" w:rsidR="005713ED" w:rsidRPr="00841410" w:rsidRDefault="005713ED" w:rsidP="005713ED">
      <w:pPr>
        <w:contextualSpacing/>
        <w:jc w:val="both"/>
        <w:rPr>
          <w:rFonts w:cs="Segoe UI"/>
          <w:sz w:val="22"/>
          <w:szCs w:val="22"/>
          <w:lang w:val="cs-CZ"/>
        </w:rPr>
      </w:pPr>
    </w:p>
    <w:sectPr w:rsidR="005713ED" w:rsidRPr="00841410" w:rsidSect="00E66455">
      <w:footerReference w:type="default" r:id="rId14"/>
      <w:pgSz w:w="12240" w:h="15840" w:code="1"/>
      <w:pgMar w:top="1440" w:right="1296" w:bottom="72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3B99C" w14:textId="77777777" w:rsidR="000401B0" w:rsidRDefault="000401B0">
      <w:r>
        <w:separator/>
      </w:r>
    </w:p>
  </w:endnote>
  <w:endnote w:type="continuationSeparator" w:id="0">
    <w:p w14:paraId="3F58926B" w14:textId="77777777" w:rsidR="000401B0" w:rsidRDefault="0004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434A5" w14:textId="77777777" w:rsidR="00E66455" w:rsidRPr="0037733B" w:rsidRDefault="00D54991" w:rsidP="00E66455">
    <w:pPr>
      <w:pStyle w:val="VisaBodyText"/>
      <w:tabs>
        <w:tab w:val="right" w:pos="9630"/>
      </w:tabs>
      <w:rPr>
        <w:sz w:val="18"/>
        <w:szCs w:val="18"/>
      </w:rPr>
    </w:pPr>
    <w:r w:rsidRPr="0037733B">
      <w:rPr>
        <w:sz w:val="18"/>
        <w:szCs w:val="18"/>
      </w:rPr>
      <w:tab/>
    </w:r>
    <w:r w:rsidRPr="0037733B">
      <w:rPr>
        <w:sz w:val="18"/>
        <w:szCs w:val="18"/>
      </w:rPr>
      <w:fldChar w:fldCharType="begin"/>
    </w:r>
    <w:r w:rsidRPr="0037733B">
      <w:rPr>
        <w:sz w:val="18"/>
        <w:szCs w:val="18"/>
      </w:rPr>
      <w:instrText xml:space="preserve"> PAGE </w:instrText>
    </w:r>
    <w:r w:rsidRPr="0037733B">
      <w:rPr>
        <w:sz w:val="18"/>
        <w:szCs w:val="18"/>
      </w:rPr>
      <w:fldChar w:fldCharType="separate"/>
    </w:r>
    <w:r w:rsidR="00972C16">
      <w:rPr>
        <w:noProof/>
        <w:sz w:val="18"/>
        <w:szCs w:val="18"/>
      </w:rPr>
      <w:t>3</w:t>
    </w:r>
    <w:r w:rsidRPr="0037733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457F0" w14:textId="77777777" w:rsidR="000401B0" w:rsidRDefault="000401B0">
      <w:r>
        <w:separator/>
      </w:r>
    </w:p>
  </w:footnote>
  <w:footnote w:type="continuationSeparator" w:id="0">
    <w:p w14:paraId="5B5A2A08" w14:textId="77777777" w:rsidR="000401B0" w:rsidRDefault="000401B0">
      <w:r>
        <w:continuationSeparator/>
      </w:r>
    </w:p>
  </w:footnote>
  <w:footnote w:id="1">
    <w:p w14:paraId="07326746" w14:textId="77777777" w:rsidR="007E79C2" w:rsidRDefault="007E79C2" w:rsidP="007E79C2">
      <w:pPr>
        <w:pStyle w:val="Textpoznpodarou"/>
      </w:pPr>
      <w:r>
        <w:rPr>
          <w:rStyle w:val="Znakapoznpodarou"/>
        </w:rPr>
        <w:footnoteRef/>
      </w:r>
      <w:r>
        <w:t xml:space="preserve"> Studii </w:t>
      </w:r>
      <w:r w:rsidR="002F39BB">
        <w:t xml:space="preserve">Bezhotovostní města: výhody digitální plateb </w:t>
      </w:r>
      <w:r>
        <w:t xml:space="preserve">realizovala </w:t>
      </w:r>
      <w:r w:rsidR="002F39BB">
        <w:t>Visa spolu s</w:t>
      </w:r>
      <w:r>
        <w:t xml:space="preserve"> Roubini ThoughtLab na 30</w:t>
      </w:r>
      <w:r w:rsidR="002F39BB">
        <w:t>00 spotřebitelích a 900 firmách ve stovce měst po celém světě.</w:t>
      </w:r>
    </w:p>
  </w:footnote>
  <w:footnote w:id="2">
    <w:p w14:paraId="33B09F81" w14:textId="77777777" w:rsidR="0094372A" w:rsidRDefault="0094372A" w:rsidP="0094372A">
      <w:pPr>
        <w:pStyle w:val="Textpoznpodarou"/>
      </w:pPr>
      <w:r>
        <w:rPr>
          <w:rStyle w:val="Znakapoznpodarou"/>
        </w:rPr>
        <w:footnoteRef/>
      </w:r>
      <w:r>
        <w:t xml:space="preserve"> Platby debetní, kreditní i předplacenou kartou, mobilními zařízením, online i elektronickými peněženkami</w:t>
      </w:r>
    </w:p>
  </w:footnote>
  <w:footnote w:id="3">
    <w:p w14:paraId="19E3DEC0" w14:textId="77777777" w:rsidR="00B42DF0" w:rsidRDefault="00B42DF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FF4645">
        <w:t xml:space="preserve">Dosažitelná úroveň podílu bezhotovostních plateb odpovídá </w:t>
      </w:r>
      <w:r w:rsidR="002F39BB">
        <w:t>situaci</w:t>
      </w:r>
      <w:r w:rsidR="00FF4645">
        <w:t>, kdy bude celá populace využívat digitální platby v takové míře jako 10 %</w:t>
      </w:r>
      <w:r w:rsidR="002F39BB">
        <w:t xml:space="preserve"> současně nejvíce aktivních uživatelů</w:t>
      </w:r>
      <w:r w:rsidR="00FF4645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2453"/>
    <w:multiLevelType w:val="hybridMultilevel"/>
    <w:tmpl w:val="38BE3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F48EF"/>
    <w:multiLevelType w:val="hybridMultilevel"/>
    <w:tmpl w:val="E20A1B60"/>
    <w:lvl w:ilvl="0" w:tplc="7416E1BE">
      <w:start w:val="34"/>
      <w:numFmt w:val="bullet"/>
      <w:lvlText w:val="-"/>
      <w:lvlJc w:val="left"/>
      <w:pPr>
        <w:ind w:left="720" w:hanging="360"/>
      </w:pPr>
      <w:rPr>
        <w:rFonts w:ascii="Segoe UI" w:eastAsia="Times New Roman" w:hAnsi="Segoe U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06F03"/>
    <w:multiLevelType w:val="hybridMultilevel"/>
    <w:tmpl w:val="A7200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55DF8"/>
    <w:multiLevelType w:val="hybridMultilevel"/>
    <w:tmpl w:val="95101ED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B7804C1"/>
    <w:multiLevelType w:val="hybridMultilevel"/>
    <w:tmpl w:val="22324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3ED"/>
    <w:rsid w:val="000329C5"/>
    <w:rsid w:val="000401B0"/>
    <w:rsid w:val="000502A4"/>
    <w:rsid w:val="000D5F3A"/>
    <w:rsid w:val="0010014C"/>
    <w:rsid w:val="00140D44"/>
    <w:rsid w:val="001B3E8B"/>
    <w:rsid w:val="00254E0D"/>
    <w:rsid w:val="00256C31"/>
    <w:rsid w:val="00271AA6"/>
    <w:rsid w:val="00286A7F"/>
    <w:rsid w:val="00292053"/>
    <w:rsid w:val="002B66FF"/>
    <w:rsid w:val="002C4E5E"/>
    <w:rsid w:val="002D4567"/>
    <w:rsid w:val="002D4F0E"/>
    <w:rsid w:val="002E5AD4"/>
    <w:rsid w:val="002F39BB"/>
    <w:rsid w:val="00331AEF"/>
    <w:rsid w:val="00353B0B"/>
    <w:rsid w:val="003A4E3D"/>
    <w:rsid w:val="003C1A77"/>
    <w:rsid w:val="003E221C"/>
    <w:rsid w:val="003E7FA0"/>
    <w:rsid w:val="003F0E08"/>
    <w:rsid w:val="004129FD"/>
    <w:rsid w:val="00422657"/>
    <w:rsid w:val="00473A7E"/>
    <w:rsid w:val="004A1DCE"/>
    <w:rsid w:val="004B2B36"/>
    <w:rsid w:val="004C13D3"/>
    <w:rsid w:val="004D1864"/>
    <w:rsid w:val="005237A4"/>
    <w:rsid w:val="005713ED"/>
    <w:rsid w:val="005D71EC"/>
    <w:rsid w:val="005E219A"/>
    <w:rsid w:val="005F5374"/>
    <w:rsid w:val="005F78D7"/>
    <w:rsid w:val="00612893"/>
    <w:rsid w:val="00623A2E"/>
    <w:rsid w:val="00641F17"/>
    <w:rsid w:val="00647BED"/>
    <w:rsid w:val="006A1640"/>
    <w:rsid w:val="006C263C"/>
    <w:rsid w:val="006D364D"/>
    <w:rsid w:val="006E07A9"/>
    <w:rsid w:val="006F0900"/>
    <w:rsid w:val="0073193F"/>
    <w:rsid w:val="00742FB0"/>
    <w:rsid w:val="00761AEB"/>
    <w:rsid w:val="00783080"/>
    <w:rsid w:val="007B2F26"/>
    <w:rsid w:val="007E79C2"/>
    <w:rsid w:val="00826E22"/>
    <w:rsid w:val="00841410"/>
    <w:rsid w:val="00850CCD"/>
    <w:rsid w:val="0089702A"/>
    <w:rsid w:val="008C20D8"/>
    <w:rsid w:val="008C3567"/>
    <w:rsid w:val="008F4A27"/>
    <w:rsid w:val="0091218B"/>
    <w:rsid w:val="00925C5E"/>
    <w:rsid w:val="0094372A"/>
    <w:rsid w:val="0096190F"/>
    <w:rsid w:val="009672CA"/>
    <w:rsid w:val="00967F50"/>
    <w:rsid w:val="00972C16"/>
    <w:rsid w:val="00976625"/>
    <w:rsid w:val="009816CD"/>
    <w:rsid w:val="009C1F87"/>
    <w:rsid w:val="009D3E15"/>
    <w:rsid w:val="009D6AA7"/>
    <w:rsid w:val="009E1A89"/>
    <w:rsid w:val="00A03926"/>
    <w:rsid w:val="00A465F7"/>
    <w:rsid w:val="00A628DE"/>
    <w:rsid w:val="00A82FB8"/>
    <w:rsid w:val="00AD6107"/>
    <w:rsid w:val="00AE25E3"/>
    <w:rsid w:val="00AE5E67"/>
    <w:rsid w:val="00AE7396"/>
    <w:rsid w:val="00B25B6C"/>
    <w:rsid w:val="00B42DF0"/>
    <w:rsid w:val="00B54312"/>
    <w:rsid w:val="00B56ED4"/>
    <w:rsid w:val="00B91D81"/>
    <w:rsid w:val="00BA61ED"/>
    <w:rsid w:val="00BC1377"/>
    <w:rsid w:val="00C143C5"/>
    <w:rsid w:val="00C370E3"/>
    <w:rsid w:val="00C42D03"/>
    <w:rsid w:val="00C464E9"/>
    <w:rsid w:val="00C75825"/>
    <w:rsid w:val="00C83C60"/>
    <w:rsid w:val="00CA7473"/>
    <w:rsid w:val="00CC02AE"/>
    <w:rsid w:val="00CE06EA"/>
    <w:rsid w:val="00CE2FA9"/>
    <w:rsid w:val="00D015AE"/>
    <w:rsid w:val="00D03C4D"/>
    <w:rsid w:val="00D26913"/>
    <w:rsid w:val="00D4116C"/>
    <w:rsid w:val="00D43180"/>
    <w:rsid w:val="00D4551D"/>
    <w:rsid w:val="00D54991"/>
    <w:rsid w:val="00D72381"/>
    <w:rsid w:val="00D958A6"/>
    <w:rsid w:val="00DC663F"/>
    <w:rsid w:val="00DC7A5C"/>
    <w:rsid w:val="00DD0006"/>
    <w:rsid w:val="00DE7005"/>
    <w:rsid w:val="00E224C0"/>
    <w:rsid w:val="00E6202C"/>
    <w:rsid w:val="00E66455"/>
    <w:rsid w:val="00EA2AEC"/>
    <w:rsid w:val="00EB05A1"/>
    <w:rsid w:val="00EE7E57"/>
    <w:rsid w:val="00FE5208"/>
    <w:rsid w:val="00FF0504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650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13ED"/>
    <w:pPr>
      <w:spacing w:after="0" w:line="240" w:lineRule="auto"/>
    </w:pPr>
    <w:rPr>
      <w:rFonts w:ascii="Segoe UI" w:eastAsia="Times New Roman" w:hAnsi="Segoe UI" w:cs="Times New Roman"/>
      <w:color w:val="000000" w:themeColor="text1"/>
      <w:sz w:val="20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isaBodyText">
    <w:name w:val="Visa Body Text"/>
    <w:rsid w:val="005713ED"/>
    <w:pPr>
      <w:spacing w:line="360" w:lineRule="auto"/>
    </w:pPr>
    <w:rPr>
      <w:rFonts w:ascii="Segoe UI" w:eastAsia="Times New Roman" w:hAnsi="Segoe UI" w:cs="Arial"/>
      <w:bCs/>
      <w:color w:val="000000" w:themeColor="text1"/>
      <w:sz w:val="20"/>
      <w:szCs w:val="20"/>
      <w:lang w:val="en-US"/>
    </w:rPr>
  </w:style>
  <w:style w:type="paragraph" w:customStyle="1" w:styleId="VisaDocumentname">
    <w:name w:val="Visa Document name"/>
    <w:rsid w:val="005713ED"/>
    <w:pPr>
      <w:spacing w:after="120" w:line="240" w:lineRule="exact"/>
    </w:pPr>
    <w:rPr>
      <w:rFonts w:ascii="Segoe UI" w:eastAsia="Times New Roman" w:hAnsi="Segoe UI" w:cs="Times New Roman"/>
      <w:b/>
      <w:caps/>
      <w:color w:val="44546A" w:themeColor="text2"/>
      <w:spacing w:val="36"/>
      <w:sz w:val="19"/>
      <w:szCs w:val="20"/>
      <w:lang w:val="en-US"/>
    </w:rPr>
  </w:style>
  <w:style w:type="paragraph" w:customStyle="1" w:styleId="VisaHeadline">
    <w:name w:val="Visa Headline"/>
    <w:rsid w:val="005713ED"/>
    <w:pPr>
      <w:pBdr>
        <w:top w:val="single" w:sz="8" w:space="6" w:color="0023A0"/>
        <w:bottom w:val="single" w:sz="8" w:space="6" w:color="0023A0"/>
      </w:pBdr>
      <w:spacing w:after="0" w:line="480" w:lineRule="exact"/>
    </w:pPr>
    <w:rPr>
      <w:rFonts w:ascii="Segoe UI" w:eastAsia="Times New Roman" w:hAnsi="Segoe UI" w:cs="Times New Roman"/>
      <w:color w:val="1A1F71"/>
      <w:sz w:val="40"/>
      <w:szCs w:val="20"/>
      <w:lang w:val="en-US"/>
    </w:rPr>
  </w:style>
  <w:style w:type="character" w:styleId="Hypertextovodkaz">
    <w:name w:val="Hyperlink"/>
    <w:rsid w:val="005713ED"/>
    <w:rPr>
      <w:rFonts w:cs="Times New Roman"/>
      <w:color w:val="0000FF"/>
      <w:spacing w:val="0"/>
      <w:u w:val="single"/>
    </w:rPr>
  </w:style>
  <w:style w:type="paragraph" w:styleId="Odstavecseseznamem">
    <w:name w:val="List Paragraph"/>
    <w:aliases w:val="FooterText,Paragraphe de liste1,numbered,List Paragraph1,Bullet List,Listenabsatz,リスト段落,Paragrafo elenco,Question,Executive Summary List,cS List Paragraph,Bulletr List Paragraph,列出段落,列出段落1,List Paragraph2,List Paragraph21"/>
    <w:basedOn w:val="Normln"/>
    <w:link w:val="OdstavecseseznamemChar"/>
    <w:uiPriority w:val="34"/>
    <w:qFormat/>
    <w:rsid w:val="005713ED"/>
    <w:pPr>
      <w:ind w:left="720"/>
      <w:contextualSpacing/>
    </w:pPr>
  </w:style>
  <w:style w:type="character" w:customStyle="1" w:styleId="OdstavecseseznamemChar">
    <w:name w:val="Odstavec se seznamem Char"/>
    <w:aliases w:val="FooterText Char,Paragraphe de liste1 Char,numbered Char,List Paragraph1 Char,Bullet List Char,Listenabsatz Char,リスト段落 Char,Paragrafo elenco Char,Question Char,Executive Summary List Char,cS List Paragraph Char,列出段落 Char"/>
    <w:link w:val="Odstavecseseznamem"/>
    <w:uiPriority w:val="34"/>
    <w:locked/>
    <w:rsid w:val="005713ED"/>
    <w:rPr>
      <w:rFonts w:ascii="Segoe UI" w:eastAsia="Times New Roman" w:hAnsi="Segoe UI" w:cs="Times New Roman"/>
      <w:color w:val="000000" w:themeColor="text1"/>
      <w:sz w:val="20"/>
      <w:szCs w:val="24"/>
      <w:lang w:val="en-US"/>
    </w:rPr>
  </w:style>
  <w:style w:type="paragraph" w:customStyle="1" w:styleId="Standard">
    <w:name w:val="Standard"/>
    <w:rsid w:val="005713ED"/>
    <w:pPr>
      <w:suppressAutoHyphens/>
      <w:autoSpaceDN w:val="0"/>
      <w:spacing w:after="0" w:line="240" w:lineRule="auto"/>
      <w:textAlignment w:val="baseline"/>
    </w:pPr>
    <w:rPr>
      <w:rFonts w:ascii="Segoe UI" w:eastAsia="Times New Roman" w:hAnsi="Segoe UI" w:cs="Times New Roman"/>
      <w:color w:val="75787B"/>
      <w:kern w:val="3"/>
      <w:sz w:val="24"/>
      <w:szCs w:val="24"/>
      <w:lang w:val="en-GB"/>
    </w:rPr>
  </w:style>
  <w:style w:type="character" w:customStyle="1" w:styleId="s22">
    <w:name w:val="s22"/>
    <w:basedOn w:val="Standardnpsmoodstavce"/>
    <w:rsid w:val="005713ED"/>
  </w:style>
  <w:style w:type="paragraph" w:customStyle="1" w:styleId="xmsonormal">
    <w:name w:val="x_msonormal"/>
    <w:basedOn w:val="Normln"/>
    <w:rsid w:val="005713ED"/>
    <w:pPr>
      <w:spacing w:before="100" w:beforeAutospacing="1" w:after="100" w:afterAutospacing="1"/>
    </w:pPr>
    <w:rPr>
      <w:rFonts w:ascii="Times New Roman" w:hAnsi="Times New Roman"/>
      <w:color w:val="auto"/>
      <w:sz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F53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F5374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F5374"/>
    <w:rPr>
      <w:rFonts w:ascii="Segoe UI" w:eastAsia="Times New Roman" w:hAnsi="Segoe UI" w:cs="Times New Roman"/>
      <w:color w:val="000000" w:themeColor="text1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53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5374"/>
    <w:rPr>
      <w:rFonts w:ascii="Segoe UI" w:eastAsia="Times New Roman" w:hAnsi="Segoe UI" w:cs="Times New Roman"/>
      <w:b/>
      <w:bCs/>
      <w:color w:val="000000" w:themeColor="text1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374"/>
    <w:rPr>
      <w:rFonts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374"/>
    <w:rPr>
      <w:rFonts w:ascii="Segoe UI" w:eastAsia="Times New Roman" w:hAnsi="Segoe UI" w:cs="Segoe UI"/>
      <w:color w:val="000000" w:themeColor="text1"/>
      <w:sz w:val="18"/>
      <w:szCs w:val="18"/>
      <w:lang w:val="en-US"/>
    </w:rPr>
  </w:style>
  <w:style w:type="character" w:customStyle="1" w:styleId="VisaBodyChar">
    <w:name w:val="Visa Body Char"/>
    <w:link w:val="VisaBody"/>
    <w:locked/>
    <w:rsid w:val="00BC137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VisaBody">
    <w:name w:val="Visa Body"/>
    <w:link w:val="VisaBodyChar"/>
    <w:rsid w:val="00BC1377"/>
    <w:pPr>
      <w:spacing w:after="0" w:line="280" w:lineRule="exac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C137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C1377"/>
    <w:rPr>
      <w:rFonts w:asciiTheme="minorHAnsi" w:eastAsiaTheme="minorHAnsi" w:hAnsiTheme="minorHAnsi" w:cstheme="minorBidi"/>
      <w:color w:val="auto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C13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5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tel:+420%20775%20708%200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tin.hajny@grayling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VisaInEurop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ision.visaeurop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saeurope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55643517-F4A9-4544-B72A-A6CB6013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3663</Characters>
  <Application>Microsoft Office Word</Application>
  <DocSecurity>0</DocSecurity>
  <Lines>30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Kristyna Blahetova</dc:creator>
  <cp:keywords/>
  <dc:description/>
  <cp:lastModifiedBy>Martin Hajný</cp:lastModifiedBy>
  <cp:revision>3</cp:revision>
  <cp:lastPrinted>2017-12-13T09:28:00Z</cp:lastPrinted>
  <dcterms:created xsi:type="dcterms:W3CDTF">2018-03-27T12:11:00Z</dcterms:created>
  <dcterms:modified xsi:type="dcterms:W3CDTF">2018-03-27T12:32:00Z</dcterms:modified>
</cp:coreProperties>
</file>