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DD83" w14:textId="77777777" w:rsidR="00A42EE6" w:rsidRDefault="00A42EE6">
      <w:r>
        <w:rPr>
          <w:rFonts w:ascii="Cambria" w:hAnsi="Cambria"/>
          <w:b/>
          <w:noProof/>
          <w:sz w:val="30"/>
          <w:szCs w:val="30"/>
          <w:lang w:eastAsia="en-GB"/>
        </w:rPr>
        <w:drawing>
          <wp:inline distT="0" distB="0" distL="0" distR="0" wp14:anchorId="1FD1E12E" wp14:editId="51B8703C">
            <wp:extent cx="1876425" cy="131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FE18 logo with d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33" cy="132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4696C" w14:textId="781A2587" w:rsidR="00534409" w:rsidRPr="00106F00" w:rsidRDefault="00A75BE7" w:rsidP="00A75BE7">
      <w:pPr>
        <w:jc w:val="both"/>
        <w:outlineLvl w:val="0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20 April</w:t>
      </w:r>
      <w:r w:rsidR="00534409" w:rsidRPr="00E83E92">
        <w:rPr>
          <w:rFonts w:ascii="Cambria" w:hAnsi="Cambria"/>
          <w:b/>
          <w:color w:val="000000" w:themeColor="text1"/>
        </w:rPr>
        <w:t xml:space="preserve"> 2018</w:t>
      </w:r>
      <w:bookmarkStart w:id="0" w:name="_GoBack"/>
      <w:bookmarkEnd w:id="0"/>
    </w:p>
    <w:p w14:paraId="5ADBC042" w14:textId="17C83EB3" w:rsidR="00534409" w:rsidRPr="00A75BE7" w:rsidRDefault="00534409" w:rsidP="00A75BE7">
      <w:pPr>
        <w:jc w:val="center"/>
        <w:outlineLvl w:val="0"/>
        <w:rPr>
          <w:rFonts w:ascii="Cambria" w:hAnsi="Cambria"/>
          <w:b/>
          <w:color w:val="000000" w:themeColor="text1"/>
          <w:sz w:val="28"/>
          <w:szCs w:val="28"/>
        </w:rPr>
      </w:pPr>
      <w:r w:rsidRPr="008105CD">
        <w:rPr>
          <w:rFonts w:ascii="Cambria" w:hAnsi="Cambria"/>
          <w:b/>
          <w:color w:val="000000" w:themeColor="text1"/>
          <w:sz w:val="28"/>
          <w:szCs w:val="28"/>
        </w:rPr>
        <w:t>PRESS RELEASE</w:t>
      </w:r>
    </w:p>
    <w:p w14:paraId="2FEFA389" w14:textId="38637712" w:rsidR="00A66557" w:rsidRPr="008329D6" w:rsidRDefault="0095142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</w:t>
      </w:r>
      <w:r w:rsidR="008329D6" w:rsidRPr="008329D6">
        <w:rPr>
          <w:rFonts w:ascii="Cambria" w:hAnsi="Cambria"/>
          <w:b/>
          <w:sz w:val="28"/>
          <w:szCs w:val="28"/>
        </w:rPr>
        <w:t xml:space="preserve">urge in </w:t>
      </w:r>
      <w:r w:rsidR="00EB2ECE">
        <w:rPr>
          <w:rFonts w:ascii="Cambria" w:hAnsi="Cambria"/>
          <w:b/>
          <w:sz w:val="28"/>
          <w:szCs w:val="28"/>
        </w:rPr>
        <w:t>industry interest in nutrigenomics</w:t>
      </w:r>
      <w:r>
        <w:rPr>
          <w:rFonts w:ascii="Cambria" w:hAnsi="Cambria"/>
          <w:b/>
          <w:sz w:val="28"/>
          <w:szCs w:val="28"/>
        </w:rPr>
        <w:t>, research finds</w:t>
      </w:r>
    </w:p>
    <w:p w14:paraId="17619A69" w14:textId="77777777" w:rsidR="008329D6" w:rsidRPr="008329D6" w:rsidRDefault="00154B4D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Industry interest in </w:t>
      </w:r>
      <w:r w:rsidR="00042D64">
        <w:rPr>
          <w:rFonts w:ascii="Cambria" w:hAnsi="Cambria" w:cstheme="minorHAnsi"/>
        </w:rPr>
        <w:t>personalised genetic</w:t>
      </w:r>
      <w:r>
        <w:rPr>
          <w:rFonts w:ascii="Cambria" w:hAnsi="Cambria" w:cstheme="minorHAnsi"/>
        </w:rPr>
        <w:t xml:space="preserve"> testing and nutrigenomics is </w:t>
      </w:r>
      <w:r w:rsidR="00CE3B62">
        <w:rPr>
          <w:rFonts w:ascii="Cambria" w:hAnsi="Cambria" w:cstheme="minorHAnsi"/>
        </w:rPr>
        <w:t>growing</w:t>
      </w:r>
      <w:r>
        <w:rPr>
          <w:rFonts w:ascii="Cambria" w:hAnsi="Cambria" w:cstheme="minorHAnsi"/>
        </w:rPr>
        <w:t>,</w:t>
      </w:r>
      <w:r w:rsidR="008329D6" w:rsidRPr="008329D6">
        <w:rPr>
          <w:rFonts w:ascii="Cambria" w:hAnsi="Cambria" w:cstheme="minorHAnsi"/>
        </w:rPr>
        <w:t xml:space="preserve"> </w:t>
      </w:r>
      <w:r w:rsidR="00F516D3">
        <w:rPr>
          <w:rFonts w:ascii="Cambria" w:hAnsi="Cambria" w:cstheme="minorHAnsi"/>
        </w:rPr>
        <w:t>a survey</w:t>
      </w:r>
      <w:r w:rsidR="00172845">
        <w:rPr>
          <w:rFonts w:ascii="Cambria" w:hAnsi="Cambria" w:cstheme="minorHAnsi"/>
        </w:rPr>
        <w:t xml:space="preserve"> ahead of Vitafoods Europe</w:t>
      </w:r>
      <w:r w:rsidR="001D55AF">
        <w:rPr>
          <w:rFonts w:ascii="Cambria" w:hAnsi="Cambria" w:cstheme="minorHAnsi"/>
        </w:rPr>
        <w:t xml:space="preserve"> </w:t>
      </w:r>
      <w:r w:rsidR="00EB2ECE">
        <w:rPr>
          <w:rFonts w:ascii="Cambria" w:hAnsi="Cambria" w:cstheme="minorHAnsi"/>
        </w:rPr>
        <w:t>suggests.</w:t>
      </w:r>
    </w:p>
    <w:p w14:paraId="166D673E" w14:textId="77777777" w:rsidR="00904DDA" w:rsidRDefault="00F516D3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Over 200 </w:t>
      </w:r>
      <w:r w:rsidR="00904DDA">
        <w:rPr>
          <w:rFonts w:ascii="Cambria" w:hAnsi="Cambria" w:cstheme="minorHAnsi"/>
        </w:rPr>
        <w:t>nutrition</w:t>
      </w:r>
      <w:r>
        <w:rPr>
          <w:rFonts w:ascii="Cambria" w:hAnsi="Cambria" w:cstheme="minorHAnsi"/>
        </w:rPr>
        <w:t xml:space="preserve"> </w:t>
      </w:r>
      <w:r w:rsidR="0079220A">
        <w:rPr>
          <w:rFonts w:ascii="Cambria" w:hAnsi="Cambria" w:cstheme="minorHAnsi"/>
        </w:rPr>
        <w:t>professionals</w:t>
      </w:r>
      <w:r w:rsidR="00B25E30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were asked to </w:t>
      </w:r>
      <w:r w:rsidR="00172845">
        <w:rPr>
          <w:rFonts w:ascii="Cambria" w:hAnsi="Cambria" w:cstheme="minorHAnsi"/>
        </w:rPr>
        <w:t>pick</w:t>
      </w:r>
      <w:r>
        <w:rPr>
          <w:rFonts w:ascii="Cambria" w:hAnsi="Cambria" w:cstheme="minorHAnsi"/>
        </w:rPr>
        <w:t xml:space="preserve"> the three most important trends </w:t>
      </w:r>
      <w:r w:rsidR="00172845">
        <w:rPr>
          <w:rFonts w:ascii="Cambria" w:hAnsi="Cambria" w:cstheme="minorHAnsi"/>
        </w:rPr>
        <w:t>for</w:t>
      </w:r>
      <w:r>
        <w:rPr>
          <w:rFonts w:ascii="Cambria" w:hAnsi="Cambria" w:cstheme="minorHAnsi"/>
        </w:rPr>
        <w:t xml:space="preserve"> the </w:t>
      </w:r>
      <w:r w:rsidR="00172845">
        <w:rPr>
          <w:rFonts w:ascii="Cambria" w:hAnsi="Cambria" w:cstheme="minorHAnsi"/>
        </w:rPr>
        <w:t xml:space="preserve">future of the </w:t>
      </w:r>
      <w:r>
        <w:rPr>
          <w:rFonts w:ascii="Cambria" w:hAnsi="Cambria" w:cstheme="minorHAnsi"/>
        </w:rPr>
        <w:t>industry.</w:t>
      </w:r>
      <w:r w:rsidR="00EC408A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A quarter (26%) identified </w:t>
      </w:r>
      <w:r w:rsidR="00154B4D">
        <w:rPr>
          <w:rFonts w:ascii="Cambria" w:hAnsi="Cambria" w:cstheme="minorHAnsi"/>
        </w:rPr>
        <w:t xml:space="preserve">new personalised assessment technologies </w:t>
      </w:r>
      <w:r>
        <w:rPr>
          <w:rFonts w:ascii="Cambria" w:hAnsi="Cambria" w:cstheme="minorHAnsi"/>
        </w:rPr>
        <w:t>as</w:t>
      </w:r>
      <w:r w:rsidR="00B25E30">
        <w:rPr>
          <w:rFonts w:ascii="Cambria" w:hAnsi="Cambria" w:cstheme="minorHAnsi"/>
        </w:rPr>
        <w:t xml:space="preserve"> </w:t>
      </w:r>
      <w:r w:rsidR="00154B4D">
        <w:rPr>
          <w:rFonts w:ascii="Cambria" w:hAnsi="Cambria" w:cstheme="minorHAnsi"/>
        </w:rPr>
        <w:t xml:space="preserve">a key </w:t>
      </w:r>
      <w:r w:rsidR="00B66F70">
        <w:rPr>
          <w:rFonts w:ascii="Cambria" w:hAnsi="Cambria" w:cstheme="minorHAnsi"/>
        </w:rPr>
        <w:t>long-term</w:t>
      </w:r>
      <w:r w:rsidR="00B25E30">
        <w:rPr>
          <w:rFonts w:ascii="Cambria" w:hAnsi="Cambria" w:cstheme="minorHAnsi"/>
        </w:rPr>
        <w:t xml:space="preserve"> trend</w:t>
      </w:r>
      <w:r>
        <w:rPr>
          <w:rFonts w:ascii="Cambria" w:hAnsi="Cambria" w:cstheme="minorHAnsi"/>
        </w:rPr>
        <w:t xml:space="preserve"> – more </w:t>
      </w:r>
      <w:r w:rsidR="00154B4D">
        <w:rPr>
          <w:rFonts w:ascii="Cambria" w:hAnsi="Cambria" w:cstheme="minorHAnsi"/>
        </w:rPr>
        <w:t xml:space="preserve">than the number </w:t>
      </w:r>
      <w:r w:rsidR="00CE7F91">
        <w:rPr>
          <w:rFonts w:ascii="Cambria" w:hAnsi="Cambria" w:cstheme="minorHAnsi"/>
        </w:rPr>
        <w:t>choosing</w:t>
      </w:r>
      <w:r w:rsidR="00154B4D">
        <w:rPr>
          <w:rFonts w:ascii="Cambria" w:hAnsi="Cambria" w:cstheme="minorHAnsi"/>
        </w:rPr>
        <w:t xml:space="preserve"> provenance and traceability </w:t>
      </w:r>
      <w:r w:rsidR="00EB2ECE">
        <w:rPr>
          <w:rFonts w:ascii="Cambria" w:hAnsi="Cambria" w:cstheme="minorHAnsi"/>
        </w:rPr>
        <w:t>(19%), transparency (18%), and sustainability (11%).</w:t>
      </w:r>
    </w:p>
    <w:p w14:paraId="7E1E78BB" w14:textId="77777777" w:rsidR="00EB2ECE" w:rsidRPr="008329D6" w:rsidRDefault="00EB2ECE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The research also reveals a sharp increase in interest in</w:t>
      </w:r>
      <w:r w:rsidR="006208F5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nutrigenomics</w:t>
      </w:r>
      <w:r w:rsidR="006208F5">
        <w:rPr>
          <w:rFonts w:ascii="Cambria" w:hAnsi="Cambria" w:cstheme="minorHAnsi"/>
        </w:rPr>
        <w:t xml:space="preserve">, </w:t>
      </w:r>
      <w:r w:rsidR="00920051">
        <w:rPr>
          <w:rFonts w:ascii="Cambria" w:hAnsi="Cambria" w:cstheme="minorHAnsi"/>
        </w:rPr>
        <w:t xml:space="preserve">the science that </w:t>
      </w:r>
      <w:r w:rsidR="006208F5">
        <w:rPr>
          <w:rFonts w:ascii="Cambria" w:hAnsi="Cambria" w:cstheme="minorHAnsi"/>
        </w:rPr>
        <w:t>allows companies to offer consumers nutritional advice</w:t>
      </w:r>
      <w:r w:rsidR="00920051">
        <w:rPr>
          <w:rFonts w:ascii="Cambria" w:hAnsi="Cambria" w:cstheme="minorHAnsi"/>
        </w:rPr>
        <w:t xml:space="preserve"> based on their DNA</w:t>
      </w:r>
      <w:r w:rsidR="006208F5">
        <w:rPr>
          <w:rFonts w:ascii="Cambria" w:hAnsi="Cambria" w:cstheme="minorHAnsi"/>
        </w:rPr>
        <w:t>.</w:t>
      </w:r>
      <w:r w:rsidR="00E324F0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Fourteen per cent of respondents </w:t>
      </w:r>
      <w:r w:rsidR="00CE7F91">
        <w:rPr>
          <w:rFonts w:ascii="Cambria" w:hAnsi="Cambria" w:cstheme="minorHAnsi"/>
        </w:rPr>
        <w:t>said</w:t>
      </w:r>
      <w:r>
        <w:rPr>
          <w:rFonts w:ascii="Cambria" w:hAnsi="Cambria" w:cstheme="minorHAnsi"/>
        </w:rPr>
        <w:t xml:space="preserve"> </w:t>
      </w:r>
      <w:r w:rsidR="006208F5">
        <w:rPr>
          <w:rFonts w:ascii="Cambria" w:hAnsi="Cambria" w:cstheme="minorHAnsi"/>
        </w:rPr>
        <w:t>nutrigenomics</w:t>
      </w:r>
      <w:r>
        <w:rPr>
          <w:rFonts w:ascii="Cambria" w:hAnsi="Cambria" w:cstheme="minorHAnsi"/>
        </w:rPr>
        <w:t xml:space="preserve"> </w:t>
      </w:r>
      <w:r w:rsidR="00CE7F91">
        <w:rPr>
          <w:rFonts w:ascii="Cambria" w:hAnsi="Cambria" w:cstheme="minorHAnsi"/>
        </w:rPr>
        <w:t>would be</w:t>
      </w:r>
      <w:r>
        <w:rPr>
          <w:rFonts w:ascii="Cambria" w:hAnsi="Cambria" w:cstheme="minorHAnsi"/>
        </w:rPr>
        <w:t xml:space="preserve"> a key trend over the coming year – up from 8% </w:t>
      </w:r>
      <w:r w:rsidR="005C502F">
        <w:rPr>
          <w:rFonts w:ascii="Cambria" w:hAnsi="Cambria" w:cstheme="minorHAnsi"/>
        </w:rPr>
        <w:t>a year ago.</w:t>
      </w:r>
    </w:p>
    <w:p w14:paraId="1A139142" w14:textId="00F37B7B" w:rsidR="005E4D0A" w:rsidRPr="00E34AA3" w:rsidRDefault="00F516D3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The findings come from a survey of 218 industry professionals by the organisers of Vitafoods Europe, which takes place between May 15 and May 17 in Palexpo, Geneva.</w:t>
      </w:r>
      <w:r w:rsidR="00AB7B56">
        <w:rPr>
          <w:rFonts w:ascii="Cambria" w:hAnsi="Cambria" w:cstheme="minorHAnsi"/>
        </w:rPr>
        <w:t xml:space="preserve"> </w:t>
      </w:r>
      <w:r w:rsidR="00E34AA3">
        <w:rPr>
          <w:rFonts w:ascii="Cambria" w:hAnsi="Cambria" w:cstheme="minorHAnsi"/>
        </w:rPr>
        <w:t xml:space="preserve"> </w:t>
      </w:r>
      <w:r w:rsidR="005E4D0A" w:rsidRPr="00E34AA3">
        <w:rPr>
          <w:rFonts w:ascii="Cambria" w:hAnsi="Cambria" w:cstheme="minorHAnsi"/>
        </w:rPr>
        <w:t>Industry trends will lead the Education Programme at this year’s event</w:t>
      </w:r>
      <w:r w:rsidR="009A7846">
        <w:rPr>
          <w:rFonts w:ascii="Cambria" w:hAnsi="Cambria" w:cstheme="minorHAnsi"/>
        </w:rPr>
        <w:t>, and the</w:t>
      </w:r>
      <w:r w:rsidR="005E4D0A" w:rsidRPr="00E34AA3">
        <w:rPr>
          <w:rFonts w:ascii="Cambria" w:hAnsi="Cambria" w:cstheme="minorHAnsi"/>
        </w:rPr>
        <w:t xml:space="preserve"> opportunities for </w:t>
      </w:r>
      <w:r w:rsidR="005E4D0A" w:rsidRPr="00910027">
        <w:rPr>
          <w:rFonts w:ascii="Cambria" w:hAnsi="Cambria" w:cstheme="minorHAnsi"/>
        </w:rPr>
        <w:t>personalised dietary advice created by nutrigenetics and nutrigenomics</w:t>
      </w:r>
      <w:r w:rsidR="005E4D0A">
        <w:rPr>
          <w:rFonts w:ascii="Cambria" w:hAnsi="Cambria" w:cstheme="minorHAnsi"/>
        </w:rPr>
        <w:t xml:space="preserve"> will be key topics of the interactive personalised nutrition workshop.</w:t>
      </w:r>
      <w:r w:rsidR="0095142A" w:rsidRPr="00E34AA3">
        <w:rPr>
          <w:rFonts w:ascii="Cambria" w:hAnsi="Cambria" w:cstheme="minorHAnsi"/>
        </w:rPr>
        <w:t xml:space="preserve"> </w:t>
      </w:r>
    </w:p>
    <w:p w14:paraId="4E671341" w14:textId="77777777" w:rsidR="00A3646D" w:rsidRDefault="00F516D3">
      <w:pPr>
        <w:rPr>
          <w:rFonts w:ascii="Cambria" w:hAnsi="Cambria"/>
        </w:rPr>
      </w:pPr>
      <w:r w:rsidRPr="00910027">
        <w:rPr>
          <w:rFonts w:ascii="Cambria" w:hAnsi="Cambria" w:cstheme="minorHAnsi"/>
        </w:rPr>
        <w:t xml:space="preserve">Commenting on the </w:t>
      </w:r>
      <w:r w:rsidR="007F25B8" w:rsidRPr="00910027">
        <w:rPr>
          <w:rFonts w:ascii="Cambria" w:hAnsi="Cambria" w:cstheme="minorHAnsi"/>
        </w:rPr>
        <w:t xml:space="preserve">survey </w:t>
      </w:r>
      <w:r w:rsidRPr="00910027">
        <w:rPr>
          <w:rFonts w:ascii="Cambria" w:hAnsi="Cambria" w:cstheme="minorHAnsi"/>
        </w:rPr>
        <w:t>findings,</w:t>
      </w:r>
      <w:r w:rsidR="00E324F0" w:rsidRPr="00910027">
        <w:rPr>
          <w:rFonts w:ascii="Cambria" w:hAnsi="Cambria" w:cstheme="minorHAnsi"/>
        </w:rPr>
        <w:t xml:space="preserve"> </w:t>
      </w:r>
      <w:r w:rsidR="00920051" w:rsidRPr="00910027">
        <w:rPr>
          <w:rFonts w:ascii="Cambria" w:hAnsi="Cambria" w:cstheme="minorHAnsi"/>
        </w:rPr>
        <w:t>Monica Feldman, President of Consumer Health Strategy Inc</w:t>
      </w:r>
      <w:r w:rsidR="00A3556C" w:rsidRPr="00910027">
        <w:rPr>
          <w:rFonts w:ascii="Cambria" w:hAnsi="Cambria" w:cstheme="minorHAnsi"/>
        </w:rPr>
        <w:t>.</w:t>
      </w:r>
      <w:r w:rsidR="00B66F70">
        <w:rPr>
          <w:rFonts w:ascii="Cambria" w:hAnsi="Cambria" w:cstheme="minorHAnsi"/>
        </w:rPr>
        <w:t>,</w:t>
      </w:r>
      <w:r w:rsidR="00A3556C" w:rsidRPr="00910027">
        <w:rPr>
          <w:rFonts w:ascii="Cambria" w:hAnsi="Cambria" w:cstheme="minorHAnsi"/>
        </w:rPr>
        <w:t xml:space="preserve"> </w:t>
      </w:r>
      <w:r w:rsidR="00920051" w:rsidRPr="00910027">
        <w:rPr>
          <w:rFonts w:ascii="Cambria" w:hAnsi="Cambria" w:cstheme="minorHAnsi"/>
        </w:rPr>
        <w:t xml:space="preserve">said: </w:t>
      </w:r>
      <w:r w:rsidR="00885C62" w:rsidRPr="00910027">
        <w:rPr>
          <w:rFonts w:ascii="Cambria" w:hAnsi="Cambria" w:cstheme="minorHAnsi"/>
        </w:rPr>
        <w:t>“</w:t>
      </w:r>
      <w:r w:rsidR="00920051" w:rsidRPr="00910027">
        <w:rPr>
          <w:rFonts w:ascii="Cambria" w:hAnsi="Cambria" w:cstheme="minorHAnsi"/>
        </w:rPr>
        <w:t>Personalised assessments are already driving the next stage of growth for the industry. For example</w:t>
      </w:r>
      <w:r w:rsidR="00920051">
        <w:rPr>
          <w:rFonts w:ascii="Cambria" w:hAnsi="Cambria"/>
        </w:rPr>
        <w:t xml:space="preserve">, quick blood panels can reveal nutritional deficiencies, some of them in a few hours. </w:t>
      </w:r>
      <w:r w:rsidR="00885C62">
        <w:rPr>
          <w:rFonts w:ascii="Cambria" w:hAnsi="Cambria"/>
        </w:rPr>
        <w:t>Major advances have been made in nutrigenomic technology, and nutrition companies are increasingly responding to the opportunities</w:t>
      </w:r>
      <w:r w:rsidR="00DE27C2">
        <w:rPr>
          <w:rFonts w:ascii="Cambria" w:hAnsi="Cambria"/>
        </w:rPr>
        <w:t>.</w:t>
      </w:r>
      <w:r w:rsidR="00B66F70">
        <w:rPr>
          <w:rFonts w:ascii="Cambria" w:hAnsi="Cambria"/>
        </w:rPr>
        <w:t xml:space="preserve"> </w:t>
      </w:r>
      <w:r w:rsidR="00DE27C2">
        <w:rPr>
          <w:rFonts w:ascii="Cambria" w:hAnsi="Cambria"/>
        </w:rPr>
        <w:t>However,</w:t>
      </w:r>
      <w:r w:rsidR="00920051">
        <w:rPr>
          <w:rFonts w:ascii="Cambria" w:hAnsi="Cambria"/>
        </w:rPr>
        <w:t xml:space="preserve"> there is a lot more to learn to fully provide a reliable picture of nutrition and the role of genetics.</w:t>
      </w:r>
      <w:r w:rsidR="00885C62">
        <w:rPr>
          <w:rFonts w:ascii="Cambria" w:hAnsi="Cambria"/>
        </w:rPr>
        <w:t>”</w:t>
      </w:r>
    </w:p>
    <w:p w14:paraId="635A930E" w14:textId="77777777" w:rsidR="006208F5" w:rsidRDefault="006208F5">
      <w:pPr>
        <w:rPr>
          <w:rFonts w:ascii="Cambria" w:hAnsi="Cambria"/>
        </w:rPr>
      </w:pPr>
      <w:r>
        <w:rPr>
          <w:rFonts w:ascii="Cambria" w:hAnsi="Cambria"/>
        </w:rPr>
        <w:t>Meanwhil</w:t>
      </w:r>
      <w:r w:rsidR="00A3556C">
        <w:rPr>
          <w:rFonts w:ascii="Cambria" w:hAnsi="Cambria"/>
        </w:rPr>
        <w:t>e, the survey suggests</w:t>
      </w:r>
      <w:r w:rsidR="00AB7B56">
        <w:rPr>
          <w:rFonts w:ascii="Cambria" w:hAnsi="Cambria"/>
        </w:rPr>
        <w:t xml:space="preserve"> there will be</w:t>
      </w:r>
      <w:r w:rsidR="00A3556C">
        <w:rPr>
          <w:rFonts w:ascii="Cambria" w:hAnsi="Cambria"/>
        </w:rPr>
        <w:t xml:space="preserve"> </w:t>
      </w:r>
      <w:r w:rsidR="00B9781A">
        <w:rPr>
          <w:rFonts w:ascii="Cambria" w:hAnsi="Cambria"/>
        </w:rPr>
        <w:t>a shift in attitudes to gender-targeted marketing</w:t>
      </w:r>
      <w:r w:rsidR="00F23BB6">
        <w:rPr>
          <w:rFonts w:ascii="Cambria" w:hAnsi="Cambria"/>
        </w:rPr>
        <w:t xml:space="preserve"> of nutrition products</w:t>
      </w:r>
      <w:r w:rsidR="00B9781A">
        <w:rPr>
          <w:rFonts w:ascii="Cambria" w:hAnsi="Cambria"/>
        </w:rPr>
        <w:t>.</w:t>
      </w:r>
      <w:r w:rsidR="00B66F70">
        <w:rPr>
          <w:rFonts w:ascii="Cambria" w:hAnsi="Cambria"/>
        </w:rPr>
        <w:t xml:space="preserve"> </w:t>
      </w:r>
      <w:r w:rsidR="00B9781A">
        <w:rPr>
          <w:rFonts w:ascii="Cambria" w:hAnsi="Cambria"/>
        </w:rPr>
        <w:t>Nearly half (46%) of the industry professionals surveyed said their companies would adopt more gender-neutral marketing over the next ten years, while 11% said there would be more marketing aimed at women, and 5% said there would be more marketing aimed at men.</w:t>
      </w:r>
    </w:p>
    <w:p w14:paraId="24C87640" w14:textId="77777777" w:rsidR="005C502F" w:rsidRDefault="005C502F">
      <w:pPr>
        <w:rPr>
          <w:rFonts w:ascii="Cambria" w:hAnsi="Cambria"/>
          <w:b/>
        </w:rPr>
      </w:pPr>
      <w:r w:rsidRPr="005C502F">
        <w:rPr>
          <w:rFonts w:ascii="Cambria" w:hAnsi="Cambria"/>
          <w:b/>
        </w:rPr>
        <w:t>Notes to editors</w:t>
      </w:r>
    </w:p>
    <w:p w14:paraId="396D39E3" w14:textId="77777777" w:rsidR="005C502F" w:rsidRPr="005C502F" w:rsidRDefault="005C502F">
      <w:pPr>
        <w:rPr>
          <w:rFonts w:ascii="Cambria" w:hAnsi="Cambria"/>
        </w:rPr>
      </w:pPr>
      <w:r w:rsidRPr="00FD1792">
        <w:rPr>
          <w:rFonts w:ascii="Cambria" w:hAnsi="Cambria"/>
        </w:rPr>
        <w:t xml:space="preserve">Vitafoods Europe surveyed 208 nutrition industry representatives between 14 November and 4 December 2017. The same questions about </w:t>
      </w:r>
      <w:r w:rsidR="00F23BB6">
        <w:rPr>
          <w:rFonts w:ascii="Cambria" w:hAnsi="Cambria"/>
        </w:rPr>
        <w:t xml:space="preserve">trends </w:t>
      </w:r>
      <w:r w:rsidRPr="00FD1792">
        <w:rPr>
          <w:rFonts w:ascii="Cambria" w:hAnsi="Cambria"/>
        </w:rPr>
        <w:t xml:space="preserve">were previously asked in a survey of 190 nutrition industry professionals between 6 December 2016 and 3 February 2017. </w:t>
      </w:r>
    </w:p>
    <w:p w14:paraId="2E527BA1" w14:textId="77777777" w:rsidR="001B7A50" w:rsidRPr="001B7A50" w:rsidRDefault="001B7A50" w:rsidP="001B7A50">
      <w:pPr>
        <w:rPr>
          <w:rFonts w:ascii="Cambria" w:hAnsi="Cambria"/>
          <w:b/>
        </w:rPr>
      </w:pPr>
      <w:r w:rsidRPr="00B11343">
        <w:rPr>
          <w:rFonts w:ascii="Cambria" w:hAnsi="Cambria"/>
          <w:b/>
        </w:rPr>
        <w:t>About Vitafoods Europe</w:t>
      </w:r>
    </w:p>
    <w:p w14:paraId="2D5D91E0" w14:textId="77777777" w:rsidR="001B7A50" w:rsidRPr="00B11343" w:rsidRDefault="001B7A50" w:rsidP="001B7A50">
      <w:pPr>
        <w:rPr>
          <w:rFonts w:ascii="Cambria" w:hAnsi="Cambria"/>
        </w:rPr>
      </w:pPr>
      <w:r w:rsidRPr="00B11343">
        <w:rPr>
          <w:rFonts w:ascii="Cambria" w:hAnsi="Cambria"/>
        </w:rPr>
        <w:lastRenderedPageBreak/>
        <w:t xml:space="preserve">Vitafoods Europe is the global nutraceutical event, featuring exhibitors from all over the world in four key market areas: ingredients &amp; raw materials; branded finished products; contract manufacturing &amp; private label; and services &amp; equipment. The event offers a range of visitor attractions, including an industry-leading Education Programme. </w:t>
      </w:r>
    </w:p>
    <w:p w14:paraId="79B215AA" w14:textId="77777777" w:rsidR="001B7A50" w:rsidRPr="00B11343" w:rsidRDefault="001B7A50" w:rsidP="001B7A50">
      <w:pPr>
        <w:rPr>
          <w:rFonts w:ascii="Cambria" w:hAnsi="Cambria"/>
        </w:rPr>
      </w:pPr>
      <w:r w:rsidRPr="00B11343">
        <w:rPr>
          <w:rFonts w:ascii="Cambria" w:hAnsi="Cambria"/>
        </w:rPr>
        <w:t xml:space="preserve">Vitafoods Europe is part of Informa Exhibitions’ Global Health &amp; Nutrition Network (GHNN), which brings together a portfolio of events, digital media and publishing for marketers, manufacturers and formulators of nutrition and dietary supplements, healthy foods/beverages and personal care products. GHNN’s events include Vitafoods Europe, Vitafoods Asia, SupplySide West, SupplySide East and SupplySide China. </w:t>
      </w:r>
    </w:p>
    <w:p w14:paraId="3FF60C0D" w14:textId="77777777" w:rsidR="001B7A50" w:rsidRPr="00B11343" w:rsidRDefault="001B7A50" w:rsidP="001B7A50">
      <w:pPr>
        <w:rPr>
          <w:rFonts w:ascii="Cambria" w:hAnsi="Cambria"/>
        </w:rPr>
      </w:pPr>
      <w:r w:rsidRPr="00B11343">
        <w:rPr>
          <w:rFonts w:ascii="Cambria" w:hAnsi="Cambria"/>
        </w:rPr>
        <w:t xml:space="preserve">Natural Products INSIDER is the global media brand covering healthy ingredients and finished applications. Vitafoods Insights offers expert online content and a series of topic-specific digital magazines that bring highlights of the Vitafoods events to a global audience. </w:t>
      </w:r>
      <w:hyperlink r:id="rId8" w:tgtFrame="_blank" w:history="1">
        <w:r w:rsidRPr="00B11343">
          <w:rPr>
            <w:rFonts w:ascii="Cambria" w:hAnsi="Cambria"/>
          </w:rPr>
          <w:t>SupplySide</w:t>
        </w:r>
      </w:hyperlink>
      <w:r w:rsidRPr="00B11343">
        <w:rPr>
          <w:rFonts w:ascii="Cambria" w:hAnsi="Cambria"/>
        </w:rPr>
        <w:t xml:space="preserve"> Connect is the always-on directory of ingredients, products and services that provides in-depth information about the companies that supply to the market. For more information, visit </w:t>
      </w:r>
      <w:hyperlink r:id="rId9" w:history="1">
        <w:r w:rsidRPr="00B11343">
          <w:rPr>
            <w:rFonts w:ascii="Cambria" w:hAnsi="Cambria"/>
          </w:rPr>
          <w:t>www.informaglobalhealth.com</w:t>
        </w:r>
      </w:hyperlink>
      <w:r w:rsidRPr="00B11343">
        <w:rPr>
          <w:rFonts w:ascii="Cambria" w:hAnsi="Cambria"/>
        </w:rPr>
        <w:t>.</w:t>
      </w:r>
    </w:p>
    <w:p w14:paraId="5D391AC6" w14:textId="77777777" w:rsidR="001B7A50" w:rsidRDefault="001B7A50" w:rsidP="001B7A50">
      <w:pPr>
        <w:rPr>
          <w:rFonts w:ascii="Cambria" w:hAnsi="Cambria"/>
        </w:rPr>
      </w:pPr>
      <w:r w:rsidRPr="00B11343">
        <w:rPr>
          <w:rFonts w:ascii="Cambria" w:hAnsi="Cambria"/>
        </w:rPr>
        <w:t>Informa’s Global Exhibitions Division organises transaction-oriented exhibitions and trade shows, which provide buyers and sellers across different industries and communities with a powerful platform to meet face-to-face, build relationships and conduct business. Informa has a portfolio of more than 150 exhibitions, serving a number of core verticals, including Health &amp; Nutrition, Beauty, Property &amp; Construction and Pop Culture.</w:t>
      </w:r>
    </w:p>
    <w:p w14:paraId="72C505C7" w14:textId="77777777" w:rsidR="00345FC2" w:rsidRDefault="00345FC2" w:rsidP="001B7A50">
      <w:pPr>
        <w:rPr>
          <w:rFonts w:ascii="Cambria" w:hAnsi="Cambria"/>
        </w:rPr>
      </w:pPr>
    </w:p>
    <w:p w14:paraId="0B7B9A0F" w14:textId="77777777" w:rsidR="008F21EF" w:rsidRPr="00580527" w:rsidRDefault="008F21EF">
      <w:pPr>
        <w:rPr>
          <w:rFonts w:ascii="Cambria" w:hAnsi="Cambria"/>
          <w:sz w:val="24"/>
          <w:szCs w:val="24"/>
        </w:rPr>
      </w:pPr>
    </w:p>
    <w:sectPr w:rsidR="008F21EF" w:rsidRPr="00580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8F035" w14:textId="77777777" w:rsidR="00C16B83" w:rsidRDefault="00C16B83" w:rsidP="009B4C5A">
      <w:pPr>
        <w:spacing w:after="0" w:line="240" w:lineRule="auto"/>
      </w:pPr>
      <w:r>
        <w:separator/>
      </w:r>
    </w:p>
  </w:endnote>
  <w:endnote w:type="continuationSeparator" w:id="0">
    <w:p w14:paraId="2571D03A" w14:textId="77777777" w:rsidR="00C16B83" w:rsidRDefault="00C16B83" w:rsidP="009B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FF7B" w14:textId="77777777" w:rsidR="00C16B83" w:rsidRDefault="00C16B83" w:rsidP="009B4C5A">
      <w:pPr>
        <w:spacing w:after="0" w:line="240" w:lineRule="auto"/>
      </w:pPr>
      <w:r>
        <w:separator/>
      </w:r>
    </w:p>
  </w:footnote>
  <w:footnote w:type="continuationSeparator" w:id="0">
    <w:p w14:paraId="659BA9EF" w14:textId="77777777" w:rsidR="00C16B83" w:rsidRDefault="00C16B83" w:rsidP="009B4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E6"/>
    <w:rsid w:val="000074DB"/>
    <w:rsid w:val="00042D64"/>
    <w:rsid w:val="00043DC5"/>
    <w:rsid w:val="000669D1"/>
    <w:rsid w:val="00067EC5"/>
    <w:rsid w:val="00082E87"/>
    <w:rsid w:val="00084772"/>
    <w:rsid w:val="00097530"/>
    <w:rsid w:val="000D1AC6"/>
    <w:rsid w:val="000E3B4F"/>
    <w:rsid w:val="0013694E"/>
    <w:rsid w:val="00154B4D"/>
    <w:rsid w:val="00172845"/>
    <w:rsid w:val="001B7A50"/>
    <w:rsid w:val="001D55AF"/>
    <w:rsid w:val="001E41B7"/>
    <w:rsid w:val="001E6794"/>
    <w:rsid w:val="00260BFE"/>
    <w:rsid w:val="002C33B4"/>
    <w:rsid w:val="00305C2D"/>
    <w:rsid w:val="00342880"/>
    <w:rsid w:val="00345FC2"/>
    <w:rsid w:val="0035531E"/>
    <w:rsid w:val="00356B75"/>
    <w:rsid w:val="0039216D"/>
    <w:rsid w:val="0039740F"/>
    <w:rsid w:val="00416B0B"/>
    <w:rsid w:val="00443331"/>
    <w:rsid w:val="00454C37"/>
    <w:rsid w:val="004B698C"/>
    <w:rsid w:val="004D718D"/>
    <w:rsid w:val="00534409"/>
    <w:rsid w:val="00547F42"/>
    <w:rsid w:val="0055051B"/>
    <w:rsid w:val="00553059"/>
    <w:rsid w:val="00580527"/>
    <w:rsid w:val="005C502F"/>
    <w:rsid w:val="005D4C54"/>
    <w:rsid w:val="005E153E"/>
    <w:rsid w:val="005E4D0A"/>
    <w:rsid w:val="006208F5"/>
    <w:rsid w:val="00737269"/>
    <w:rsid w:val="0079220A"/>
    <w:rsid w:val="00795DFA"/>
    <w:rsid w:val="007D5501"/>
    <w:rsid w:val="007F25B8"/>
    <w:rsid w:val="00804A63"/>
    <w:rsid w:val="00812B1B"/>
    <w:rsid w:val="00816A3A"/>
    <w:rsid w:val="008329D6"/>
    <w:rsid w:val="00832A2C"/>
    <w:rsid w:val="008336B9"/>
    <w:rsid w:val="00835C69"/>
    <w:rsid w:val="008840E9"/>
    <w:rsid w:val="00885C62"/>
    <w:rsid w:val="008F21EF"/>
    <w:rsid w:val="00904DDA"/>
    <w:rsid w:val="00910027"/>
    <w:rsid w:val="009173C6"/>
    <w:rsid w:val="00920051"/>
    <w:rsid w:val="00922B46"/>
    <w:rsid w:val="0095142A"/>
    <w:rsid w:val="009A7846"/>
    <w:rsid w:val="009B4C5A"/>
    <w:rsid w:val="009B4C79"/>
    <w:rsid w:val="009C7616"/>
    <w:rsid w:val="009E2098"/>
    <w:rsid w:val="00A10B26"/>
    <w:rsid w:val="00A3426B"/>
    <w:rsid w:val="00A3556C"/>
    <w:rsid w:val="00A3646D"/>
    <w:rsid w:val="00A4069E"/>
    <w:rsid w:val="00A42EE6"/>
    <w:rsid w:val="00A51882"/>
    <w:rsid w:val="00A66557"/>
    <w:rsid w:val="00A75BE7"/>
    <w:rsid w:val="00AB7B56"/>
    <w:rsid w:val="00AD5BCC"/>
    <w:rsid w:val="00AF5A15"/>
    <w:rsid w:val="00B25E30"/>
    <w:rsid w:val="00B66F70"/>
    <w:rsid w:val="00B87B64"/>
    <w:rsid w:val="00B9781A"/>
    <w:rsid w:val="00BB3EF6"/>
    <w:rsid w:val="00BF71F7"/>
    <w:rsid w:val="00C16B83"/>
    <w:rsid w:val="00C34847"/>
    <w:rsid w:val="00C46ED4"/>
    <w:rsid w:val="00CC11D6"/>
    <w:rsid w:val="00CE3B62"/>
    <w:rsid w:val="00CE60D4"/>
    <w:rsid w:val="00CE7F91"/>
    <w:rsid w:val="00CF4F6A"/>
    <w:rsid w:val="00D21FE9"/>
    <w:rsid w:val="00D44AD5"/>
    <w:rsid w:val="00D74357"/>
    <w:rsid w:val="00DA74AF"/>
    <w:rsid w:val="00DB6E76"/>
    <w:rsid w:val="00DE27C2"/>
    <w:rsid w:val="00E324F0"/>
    <w:rsid w:val="00E34AA3"/>
    <w:rsid w:val="00EB2ECE"/>
    <w:rsid w:val="00EC408A"/>
    <w:rsid w:val="00ED0F2F"/>
    <w:rsid w:val="00F23BB6"/>
    <w:rsid w:val="00F516D3"/>
    <w:rsid w:val="00F55BE2"/>
    <w:rsid w:val="00F6733F"/>
    <w:rsid w:val="00F8542C"/>
    <w:rsid w:val="00FB1767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18D"/>
  <w15:chartTrackingRefBased/>
  <w15:docId w15:val="{253F87C7-24B9-4DC8-A142-574A866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5A"/>
  </w:style>
  <w:style w:type="paragraph" w:styleId="Footer">
    <w:name w:val="footer"/>
    <w:basedOn w:val="Normal"/>
    <w:link w:val="FooterChar"/>
    <w:uiPriority w:val="99"/>
    <w:unhideWhenUsed/>
    <w:rsid w:val="009B4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5A"/>
  </w:style>
  <w:style w:type="paragraph" w:styleId="BalloonText">
    <w:name w:val="Balloon Text"/>
    <w:basedOn w:val="Normal"/>
    <w:link w:val="BalloonTextChar"/>
    <w:uiPriority w:val="99"/>
    <w:semiHidden/>
    <w:unhideWhenUsed/>
    <w:rsid w:val="0034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5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4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4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fronts.supplysidesho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aglobal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1F0C-C178-48E4-BAFE-4B4E29A0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685</Words>
  <Characters>3562</Characters>
  <Application>Microsoft Office Word</Application>
  <DocSecurity>0</DocSecurity>
  <Lines>274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Harman</dc:creator>
  <cp:keywords/>
  <dc:description/>
  <cp:lastModifiedBy>Steve Harman</cp:lastModifiedBy>
  <cp:revision>3</cp:revision>
  <cp:lastPrinted>2018-04-20T08:12:00Z</cp:lastPrinted>
  <dcterms:created xsi:type="dcterms:W3CDTF">2018-04-20T08:12:00Z</dcterms:created>
  <dcterms:modified xsi:type="dcterms:W3CDTF">2018-04-20T08:31:00Z</dcterms:modified>
</cp:coreProperties>
</file>