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1" w:rsidRPr="00227F31" w:rsidRDefault="00227F31" w:rsidP="0034338E">
      <w:pPr>
        <w:pStyle w:val="berschrift1"/>
        <w:rPr>
          <w:rFonts w:ascii="Sparkasse Rg" w:eastAsia="Sparkasse Rg" w:hAnsi="Sparkasse Rg" w:cs="Sparkasse Rg"/>
          <w:sz w:val="24"/>
          <w:szCs w:val="24"/>
        </w:rPr>
      </w:pPr>
      <w:r w:rsidRPr="00227F31">
        <w:rPr>
          <w:rFonts w:ascii="Sparkasse Rg" w:eastAsia="Sparkasse Rg" w:hAnsi="Sparkasse Rg" w:cs="Sparkasse Rg"/>
          <w:sz w:val="24"/>
          <w:szCs w:val="24"/>
        </w:rPr>
        <w:t xml:space="preserve">Pressemeldung </w:t>
      </w:r>
      <w:r w:rsidR="00933AAF">
        <w:rPr>
          <w:rFonts w:ascii="Sparkasse Rg" w:eastAsia="Sparkasse Rg" w:hAnsi="Sparkasse Rg" w:cs="Sparkasse Rg"/>
          <w:sz w:val="24"/>
          <w:szCs w:val="24"/>
        </w:rPr>
        <w:t>10</w:t>
      </w:r>
      <w:r w:rsidRPr="00227F31">
        <w:rPr>
          <w:rFonts w:ascii="Sparkasse Rg" w:eastAsia="Sparkasse Rg" w:hAnsi="Sparkasse Rg" w:cs="Sparkasse Rg"/>
          <w:sz w:val="24"/>
          <w:szCs w:val="24"/>
        </w:rPr>
        <w:t>.09.2018</w:t>
      </w:r>
    </w:p>
    <w:p w:rsidR="00387214" w:rsidRDefault="00933AAF" w:rsidP="0034338E">
      <w:pPr>
        <w:pStyle w:val="berschrift1"/>
        <w:rPr>
          <w:rFonts w:ascii="Sparkasse Rg" w:eastAsia="Sparkasse Rg" w:hAnsi="Sparkasse Rg" w:cs="Sparkasse Rg"/>
          <w:sz w:val="24"/>
          <w:szCs w:val="24"/>
          <w:u w:val="single"/>
        </w:rPr>
      </w:pPr>
      <w:r>
        <w:rPr>
          <w:rFonts w:ascii="Sparkasse Rg" w:eastAsia="Sparkasse Rg" w:hAnsi="Sparkasse Rg" w:cs="Sparkasse Rg"/>
          <w:sz w:val="24"/>
          <w:szCs w:val="24"/>
          <w:u w:val="single"/>
        </w:rPr>
        <w:t>Gutes tun</w:t>
      </w:r>
      <w:r w:rsidR="003350F4" w:rsidRPr="000740E7">
        <w:rPr>
          <w:rFonts w:ascii="Sparkasse Rg" w:eastAsia="Sparkasse Rg" w:hAnsi="Sparkasse Rg" w:cs="Sparkasse Rg"/>
          <w:sz w:val="24"/>
          <w:szCs w:val="24"/>
          <w:u w:val="single"/>
        </w:rPr>
        <w:t xml:space="preserve"> </w:t>
      </w:r>
      <w:r>
        <w:rPr>
          <w:rFonts w:ascii="Sparkasse Rg" w:eastAsia="Sparkasse Rg" w:hAnsi="Sparkasse Rg" w:cs="Sparkasse Rg"/>
          <w:sz w:val="24"/>
          <w:szCs w:val="24"/>
          <w:u w:val="single"/>
        </w:rPr>
        <w:t>für München –</w:t>
      </w:r>
      <w:r w:rsidR="007C77DD">
        <w:rPr>
          <w:rFonts w:ascii="Sparkasse Rg" w:eastAsia="Sparkasse Rg" w:hAnsi="Sparkasse Rg" w:cs="Sparkasse Rg"/>
          <w:sz w:val="24"/>
          <w:szCs w:val="24"/>
          <w:u w:val="single"/>
        </w:rPr>
        <w:t xml:space="preserve"> </w:t>
      </w:r>
      <w:r w:rsidR="002C6FD5">
        <w:rPr>
          <w:rFonts w:ascii="Sparkasse Rg" w:eastAsia="Sparkasse Rg" w:hAnsi="Sparkasse Rg" w:cs="Sparkasse Rg"/>
          <w:sz w:val="24"/>
          <w:szCs w:val="24"/>
          <w:u w:val="single"/>
        </w:rPr>
        <w:t xml:space="preserve">neues </w:t>
      </w:r>
      <w:r>
        <w:rPr>
          <w:rFonts w:ascii="Sparkasse Rg" w:eastAsia="Sparkasse Rg" w:hAnsi="Sparkasse Rg" w:cs="Sparkasse Rg"/>
          <w:sz w:val="24"/>
          <w:szCs w:val="24"/>
          <w:u w:val="single"/>
        </w:rPr>
        <w:t>Online</w:t>
      </w:r>
      <w:r w:rsidR="007C77DD">
        <w:rPr>
          <w:rFonts w:ascii="Sparkasse Rg" w:eastAsia="Sparkasse Rg" w:hAnsi="Sparkasse Rg" w:cs="Sparkasse Rg"/>
          <w:sz w:val="24"/>
          <w:szCs w:val="24"/>
          <w:u w:val="single"/>
        </w:rPr>
        <w:t>-Magazin</w:t>
      </w:r>
      <w:r>
        <w:rPr>
          <w:rFonts w:ascii="Sparkasse Rg" w:eastAsia="Sparkasse Rg" w:hAnsi="Sparkasse Rg" w:cs="Sparkasse Rg"/>
          <w:sz w:val="24"/>
          <w:szCs w:val="24"/>
          <w:u w:val="single"/>
        </w:rPr>
        <w:t xml:space="preserve"> über das vielfältige Engagement der Stadtsparkasse München</w:t>
      </w:r>
      <w:r w:rsidR="007C77DD">
        <w:rPr>
          <w:rFonts w:ascii="Sparkasse Rg" w:eastAsia="Sparkasse Rg" w:hAnsi="Sparkasse Rg" w:cs="Sparkasse Rg"/>
          <w:sz w:val="24"/>
          <w:szCs w:val="24"/>
          <w:u w:val="single"/>
        </w:rPr>
        <w:t xml:space="preserve"> und ihrer Stiftungen</w:t>
      </w:r>
      <w:r w:rsidR="00472CE3">
        <w:rPr>
          <w:rFonts w:ascii="Sparkasse Rg" w:eastAsia="Sparkasse Rg" w:hAnsi="Sparkasse Rg" w:cs="Sparkasse Rg"/>
          <w:sz w:val="24"/>
          <w:szCs w:val="24"/>
          <w:u w:val="single"/>
        </w:rPr>
        <w:t xml:space="preserve"> erschienen</w:t>
      </w:r>
    </w:p>
    <w:p w:rsidR="00756D7C" w:rsidRPr="00227F31" w:rsidRDefault="00E20B37" w:rsidP="0034338E">
      <w:pPr>
        <w:pStyle w:val="berschrift1"/>
        <w:rPr>
          <w:rFonts w:ascii="Sparkasse Rg" w:eastAsia="Sparkasse Rg" w:hAnsi="Sparkasse Rg" w:cs="Sparkasse Rg"/>
          <w:sz w:val="22"/>
          <w:szCs w:val="22"/>
        </w:rPr>
      </w:pPr>
      <w:r>
        <w:rPr>
          <w:rFonts w:ascii="Sparkasse Rg" w:eastAsia="Sparkasse Rg" w:hAnsi="Sparkasse Rg" w:cs="Sparkasse Rg"/>
          <w:sz w:val="22"/>
          <w:szCs w:val="22"/>
        </w:rPr>
        <w:t>Jahr für Jahr fördern</w:t>
      </w:r>
      <w:r w:rsidR="00933AAF">
        <w:rPr>
          <w:rFonts w:ascii="Sparkasse Rg" w:eastAsia="Sparkasse Rg" w:hAnsi="Sparkasse Rg" w:cs="Sparkasse Rg"/>
          <w:sz w:val="22"/>
          <w:szCs w:val="22"/>
        </w:rPr>
        <w:t xml:space="preserve"> die Stadtsparkasse München und die</w:t>
      </w:r>
      <w:r>
        <w:rPr>
          <w:rFonts w:ascii="Sparkasse Rg" w:eastAsia="Sparkasse Rg" w:hAnsi="Sparkasse Rg" w:cs="Sparkasse Rg"/>
          <w:sz w:val="22"/>
          <w:szCs w:val="22"/>
        </w:rPr>
        <w:t xml:space="preserve"> von ihr gegründeten Stiftungen</w:t>
      </w:r>
      <w:r w:rsidR="00933AAF">
        <w:rPr>
          <w:rFonts w:ascii="Sparkasse Rg" w:eastAsia="Sparkasse Rg" w:hAnsi="Sparkasse Rg" w:cs="Sparkasse Rg"/>
          <w:sz w:val="22"/>
          <w:szCs w:val="22"/>
        </w:rPr>
        <w:t xml:space="preserve"> </w:t>
      </w:r>
      <w:r w:rsidR="00472CE3">
        <w:rPr>
          <w:rFonts w:ascii="Sparkasse Rg" w:eastAsia="Sparkasse Rg" w:hAnsi="Sparkasse Rg" w:cs="Sparkasse Rg"/>
          <w:sz w:val="22"/>
          <w:szCs w:val="22"/>
        </w:rPr>
        <w:t xml:space="preserve">rund </w:t>
      </w:r>
      <w:r w:rsidR="002C6FD5">
        <w:rPr>
          <w:rFonts w:ascii="Sparkasse Rg" w:eastAsia="Sparkasse Rg" w:hAnsi="Sparkasse Rg" w:cs="Sparkasse Rg"/>
          <w:sz w:val="22"/>
          <w:szCs w:val="22"/>
        </w:rPr>
        <w:t xml:space="preserve">300 </w:t>
      </w:r>
      <w:r>
        <w:rPr>
          <w:rFonts w:ascii="Sparkasse Rg" w:eastAsia="Sparkasse Rg" w:hAnsi="Sparkasse Rg" w:cs="Sparkasse Rg"/>
          <w:sz w:val="22"/>
          <w:szCs w:val="22"/>
        </w:rPr>
        <w:t xml:space="preserve">soziale und kulturelle </w:t>
      </w:r>
      <w:r w:rsidR="00933AAF">
        <w:rPr>
          <w:rFonts w:ascii="Sparkasse Rg" w:eastAsia="Sparkasse Rg" w:hAnsi="Sparkasse Rg" w:cs="Sparkasse Rg"/>
          <w:sz w:val="22"/>
          <w:szCs w:val="22"/>
        </w:rPr>
        <w:t xml:space="preserve">Projekte / </w:t>
      </w:r>
      <w:hyperlink r:id="rId7" w:history="1">
        <w:r w:rsidR="007C77DD" w:rsidRPr="00107A1A">
          <w:rPr>
            <w:rStyle w:val="Hyperlink"/>
            <w:rFonts w:ascii="Sparkasse Rg" w:eastAsia="Sparkasse Rg" w:hAnsi="Sparkasse Rg" w:cs="Sparkasse Rg"/>
            <w:sz w:val="22"/>
            <w:szCs w:val="22"/>
          </w:rPr>
          <w:t>engagement.sskm.de</w:t>
        </w:r>
      </w:hyperlink>
    </w:p>
    <w:p w:rsidR="00756D7C" w:rsidRDefault="00756D7C" w:rsidP="0034338E"/>
    <w:p w:rsidR="007C77DD" w:rsidRDefault="00B03DAC" w:rsidP="007C77DD">
      <w:pPr>
        <w:pBdr>
          <w:top w:val="nil"/>
          <w:left w:val="nil"/>
          <w:bottom w:val="nil"/>
          <w:right w:val="nil"/>
          <w:between w:val="nil"/>
        </w:pBdr>
        <w:spacing w:after="120" w:line="360" w:lineRule="auto"/>
        <w:ind w:right="1985"/>
      </w:pPr>
      <w:r>
        <w:rPr>
          <w:b/>
          <w:color w:val="000000"/>
        </w:rPr>
        <w:t>München (sskm).</w:t>
      </w:r>
      <w:r>
        <w:rPr>
          <w:color w:val="000000"/>
        </w:rPr>
        <w:t xml:space="preserve"> </w:t>
      </w:r>
      <w:r w:rsidR="007F0985">
        <w:rPr>
          <w:color w:val="000000"/>
        </w:rPr>
        <w:t xml:space="preserve">Neben ihrer eigentlichen Banktätigkeit </w:t>
      </w:r>
      <w:r w:rsidR="007C77DD">
        <w:rPr>
          <w:color w:val="000000"/>
        </w:rPr>
        <w:t xml:space="preserve">fördert die Stadtsparkasse München </w:t>
      </w:r>
      <w:r w:rsidR="007F0985">
        <w:rPr>
          <w:color w:val="000000"/>
        </w:rPr>
        <w:t xml:space="preserve">jedes Jahr </w:t>
      </w:r>
      <w:r w:rsidR="007C77DD">
        <w:rPr>
          <w:color w:val="000000"/>
        </w:rPr>
        <w:t>rund 300 soziale und kulturelle Projekte in München, die sonst nicht möglich wären. Im Jahr 2017</w:t>
      </w:r>
      <w:r w:rsidR="00E20B37">
        <w:rPr>
          <w:color w:val="000000"/>
        </w:rPr>
        <w:t xml:space="preserve"> haben so 279 Förderprojekte </w:t>
      </w:r>
      <w:r w:rsidR="002C6FD5">
        <w:rPr>
          <w:color w:val="000000"/>
        </w:rPr>
        <w:t xml:space="preserve">von </w:t>
      </w:r>
      <w:r w:rsidR="00E20B37">
        <w:rPr>
          <w:color w:val="000000"/>
        </w:rPr>
        <w:t>Spenden</w:t>
      </w:r>
      <w:r w:rsidR="00472CE3">
        <w:rPr>
          <w:color w:val="000000"/>
        </w:rPr>
        <w:t xml:space="preserve">, </w:t>
      </w:r>
      <w:r w:rsidR="00E05E04">
        <w:rPr>
          <w:color w:val="000000"/>
        </w:rPr>
        <w:t>Sponsoring</w:t>
      </w:r>
      <w:r w:rsidR="00E20B37">
        <w:rPr>
          <w:color w:val="000000"/>
        </w:rPr>
        <w:t xml:space="preserve"> und Ausschüttungen in Höhe von 3,4 Mio. Euro profitiert. </w:t>
      </w:r>
      <w:r w:rsidR="007C77DD" w:rsidRPr="007C77DD">
        <w:t>„Als ‚Die Bank unserer Stadt‘ lie</w:t>
      </w:r>
      <w:r w:rsidR="007C77DD">
        <w:t xml:space="preserve">gt uns </w:t>
      </w:r>
      <w:r w:rsidR="007C77DD" w:rsidRPr="007C77DD">
        <w:t>München sehr am Herzen. Wir arbeiten daran, Werte für die Zukunft zu gestal</w:t>
      </w:r>
      <w:r w:rsidR="007C77DD">
        <w:t xml:space="preserve">ten und langfristig zu erhalten“, erklärt der Vorstandsvorsitzende Ralf Fleischer die Motivation dafür. </w:t>
      </w:r>
      <w:r w:rsidR="007C77DD" w:rsidRPr="007C77DD">
        <w:t xml:space="preserve">Denn nicht immer </w:t>
      </w:r>
      <w:r w:rsidR="007C77DD">
        <w:t>könne</w:t>
      </w:r>
      <w:r w:rsidR="007C77DD" w:rsidRPr="007C77DD">
        <w:t xml:space="preserve"> der Staat bei </w:t>
      </w:r>
      <w:r w:rsidR="007C77DD">
        <w:t>gesel</w:t>
      </w:r>
      <w:r w:rsidR="00E20B37">
        <w:t>l</w:t>
      </w:r>
      <w:r w:rsidR="007C77DD">
        <w:t xml:space="preserve">schaftlichen </w:t>
      </w:r>
      <w:r w:rsidR="007C77DD" w:rsidRPr="007C77DD">
        <w:t xml:space="preserve">Problemen einspringen. Deshalb </w:t>
      </w:r>
      <w:r w:rsidR="007C77DD">
        <w:t>sei</w:t>
      </w:r>
      <w:r w:rsidR="007C77DD" w:rsidRPr="007C77DD">
        <w:t xml:space="preserve"> bürgerschaftliches Engagement für unsere Gesellschaft wichtig</w:t>
      </w:r>
      <w:r w:rsidR="007C77DD">
        <w:t>, so Fleischer weiter.</w:t>
      </w:r>
    </w:p>
    <w:p w:rsidR="007C77DD" w:rsidRDefault="00E20B37" w:rsidP="007C77DD">
      <w:pPr>
        <w:pBdr>
          <w:top w:val="nil"/>
          <w:left w:val="nil"/>
          <w:bottom w:val="nil"/>
          <w:right w:val="nil"/>
          <w:between w:val="nil"/>
        </w:pBdr>
        <w:spacing w:after="120" w:line="360" w:lineRule="auto"/>
        <w:ind w:right="1985"/>
      </w:pPr>
      <w:r>
        <w:t>Damit die Münchner einen</w:t>
      </w:r>
      <w:r w:rsidR="007C77DD">
        <w:t xml:space="preserve"> </w:t>
      </w:r>
      <w:r>
        <w:t xml:space="preserve">ansprechenden </w:t>
      </w:r>
      <w:r w:rsidR="007C77DD">
        <w:t xml:space="preserve">Überblick </w:t>
      </w:r>
      <w:r>
        <w:t>erhalten</w:t>
      </w:r>
      <w:r w:rsidR="007C77DD">
        <w:t xml:space="preserve">, wie groß die Vielfalt der Projekte und Initiativen ist, die dadurch gefördert werden, hat die Stadtsparkasse München ein Online-Magazin </w:t>
      </w:r>
      <w:r w:rsidR="007F0985">
        <w:t xml:space="preserve">mit dem Titel „Wir fördern, was Sie lieben“ </w:t>
      </w:r>
      <w:r w:rsidR="007C77DD">
        <w:t>herausgebracht. Diese</w:t>
      </w:r>
      <w:r>
        <w:t>s</w:t>
      </w:r>
      <w:r w:rsidR="007C77DD">
        <w:t xml:space="preserve"> </w:t>
      </w:r>
      <w:r>
        <w:t>kann unter</w:t>
      </w:r>
      <w:r w:rsidR="007C77DD">
        <w:t xml:space="preserve"> </w:t>
      </w:r>
      <w:r>
        <w:t>der</w:t>
      </w:r>
      <w:r w:rsidR="007C77DD">
        <w:t xml:space="preserve"> </w:t>
      </w:r>
      <w:r>
        <w:t>Adresse</w:t>
      </w:r>
      <w:r w:rsidR="007C77DD">
        <w:t xml:space="preserve"> </w:t>
      </w:r>
      <w:hyperlink r:id="rId8" w:history="1">
        <w:r w:rsidR="007C77DD" w:rsidRPr="00107A1A">
          <w:rPr>
            <w:rStyle w:val="Hyperlink"/>
          </w:rPr>
          <w:t>engagement.sskm.de</w:t>
        </w:r>
      </w:hyperlink>
      <w:r w:rsidR="007C77DD">
        <w:t xml:space="preserve"> </w:t>
      </w:r>
      <w:r>
        <w:t>ganz einfach durchgeblättert werden</w:t>
      </w:r>
      <w:r w:rsidR="007C77DD">
        <w:t>.</w:t>
      </w:r>
      <w:r w:rsidRPr="00E20B37">
        <w:t xml:space="preserve"> </w:t>
      </w:r>
      <w:r>
        <w:t>Ergänzt sind die Informationen durch Links, Bilder und Videos.</w:t>
      </w:r>
    </w:p>
    <w:p w:rsidR="007C77DD" w:rsidRDefault="007C77DD" w:rsidP="007C77DD">
      <w:pPr>
        <w:pBdr>
          <w:top w:val="nil"/>
          <w:left w:val="nil"/>
          <w:bottom w:val="nil"/>
          <w:right w:val="nil"/>
          <w:between w:val="nil"/>
        </w:pBdr>
        <w:spacing w:after="120" w:line="360" w:lineRule="auto"/>
        <w:ind w:right="1985"/>
      </w:pPr>
      <w:r>
        <w:t xml:space="preserve">Untergliedert ist das Magazin in die </w:t>
      </w:r>
      <w:r w:rsidR="002C6FD5">
        <w:t xml:space="preserve">vier </w:t>
      </w:r>
      <w:r>
        <w:t>Kategorien „Klassisch schön“, „Jung und Bunt“, „Sport und Spaß“ sowie „Mit Herz und Verstand“. Förderschwerpunkte wie die Münchner Symphoniker, das Tollwood Festival, der Tierpark Hellabrunn, der Olympiapark oder das Spendenportal gut-fuer-muenchen.de werden</w:t>
      </w:r>
      <w:r w:rsidR="00E20B37">
        <w:t xml:space="preserve"> ebenso vorgestellt wie viele</w:t>
      </w:r>
      <w:r>
        <w:t xml:space="preserve"> kleine Projekte, mit denen </w:t>
      </w:r>
      <w:r w:rsidR="00E20B37">
        <w:t>die Stadtsparkasse und ihre Stiftungen</w:t>
      </w:r>
      <w:r>
        <w:t xml:space="preserve"> </w:t>
      </w:r>
      <w:r w:rsidR="006B0CA4">
        <w:t>zur</w:t>
      </w:r>
      <w:r>
        <w:t xml:space="preserve"> bunte</w:t>
      </w:r>
      <w:r w:rsidR="006B0CA4">
        <w:t>n</w:t>
      </w:r>
      <w:r>
        <w:t xml:space="preserve"> Vielfalt i</w:t>
      </w:r>
      <w:r w:rsidR="006B0CA4">
        <w:t xml:space="preserve">n der </w:t>
      </w:r>
      <w:r w:rsidR="00472CE3">
        <w:t xml:space="preserve">bayerischen </w:t>
      </w:r>
      <w:r w:rsidR="006B0CA4">
        <w:t>Landeshauptstadt beitragen.</w:t>
      </w:r>
    </w:p>
    <w:p w:rsidR="006B0CA4" w:rsidRDefault="00E20B37" w:rsidP="007C77DD">
      <w:pPr>
        <w:pBdr>
          <w:top w:val="nil"/>
          <w:left w:val="nil"/>
          <w:bottom w:val="nil"/>
          <w:right w:val="nil"/>
          <w:between w:val="nil"/>
        </w:pBdr>
        <w:spacing w:after="120" w:line="360" w:lineRule="auto"/>
        <w:ind w:right="1985"/>
      </w:pPr>
      <w:r>
        <w:t>Neben ihre eigenen Spenden</w:t>
      </w:r>
      <w:r w:rsidR="002C6FD5">
        <w:t>-</w:t>
      </w:r>
      <w:r>
        <w:t>, Stiftungs- und Sponsoringtätigkeit betreib</w:t>
      </w:r>
      <w:r w:rsidR="005F7170">
        <w:t>en betterplace.org und</w:t>
      </w:r>
      <w:r>
        <w:t xml:space="preserve"> die Stadtsparkasse München seit Ende 201</w:t>
      </w:r>
      <w:r w:rsidR="005F7170">
        <w:t>5</w:t>
      </w:r>
      <w:r>
        <w:t xml:space="preserve"> eine Online-Spendenplattform unter </w:t>
      </w:r>
      <w:hyperlink r:id="rId9" w:history="1">
        <w:r w:rsidRPr="00107A1A">
          <w:rPr>
            <w:rStyle w:val="Hyperlink"/>
          </w:rPr>
          <w:t>www.gut-fuer-muenchen.de</w:t>
        </w:r>
      </w:hyperlink>
      <w:r>
        <w:t xml:space="preserve">. Über </w:t>
      </w:r>
      <w:r w:rsidR="002C6FD5">
        <w:t>7</w:t>
      </w:r>
      <w:r>
        <w:t xml:space="preserve">00 </w:t>
      </w:r>
      <w:r w:rsidR="002C6FD5">
        <w:t xml:space="preserve">als </w:t>
      </w:r>
      <w:r w:rsidR="002C6FD5">
        <w:rPr>
          <w:color w:val="000000"/>
        </w:rPr>
        <w:t xml:space="preserve">gemeinnützige </w:t>
      </w:r>
      <w:r w:rsidR="002C6FD5">
        <w:t xml:space="preserve">Projekte </w:t>
      </w:r>
      <w:r w:rsidR="002C6FD5">
        <w:rPr>
          <w:color w:val="000000"/>
        </w:rPr>
        <w:t xml:space="preserve">für soziale oder kulturelle Zwecke ohne </w:t>
      </w:r>
      <w:r w:rsidR="002C6FD5">
        <w:rPr>
          <w:color w:val="000000"/>
        </w:rPr>
        <w:lastRenderedPageBreak/>
        <w:t xml:space="preserve">wirtschaftlichen Hintergrund </w:t>
      </w:r>
      <w:r>
        <w:t xml:space="preserve">haben so </w:t>
      </w:r>
      <w:r w:rsidR="002C6FD5">
        <w:t xml:space="preserve">seitdem </w:t>
      </w:r>
      <w:r>
        <w:t xml:space="preserve">durch Spenden von Münchens Bürgerinnen und Bürger von </w:t>
      </w:r>
      <w:r w:rsidR="00472CE3">
        <w:t>über</w:t>
      </w:r>
      <w:r>
        <w:t xml:space="preserve"> 3 Mio. Euro </w:t>
      </w:r>
      <w:r w:rsidR="002C6FD5">
        <w:t xml:space="preserve">Spendenaufkommen </w:t>
      </w:r>
      <w:r>
        <w:t>profitiert. Die Sparkassen sind außerdem größte</w:t>
      </w:r>
      <w:r w:rsidR="002C6FD5">
        <w:t>r</w:t>
      </w:r>
      <w:r>
        <w:t xml:space="preserve"> nichtstaatliche</w:t>
      </w:r>
      <w:r w:rsidR="002C6FD5">
        <w:t>r</w:t>
      </w:r>
      <w:r>
        <w:t xml:space="preserve"> Sportförderer in Deutschland.</w:t>
      </w:r>
      <w:r w:rsidR="006B0CA4">
        <w:t xml:space="preserve"> </w:t>
      </w:r>
    </w:p>
    <w:p w:rsidR="00E20B37" w:rsidRDefault="006B0CA4" w:rsidP="007C77DD">
      <w:pPr>
        <w:pBdr>
          <w:top w:val="nil"/>
          <w:left w:val="nil"/>
          <w:bottom w:val="nil"/>
          <w:right w:val="nil"/>
          <w:between w:val="nil"/>
        </w:pBdr>
        <w:spacing w:after="120" w:line="360" w:lineRule="auto"/>
        <w:ind w:right="1985"/>
      </w:pPr>
      <w:r>
        <w:t xml:space="preserve">Kunden die mit ihrem eigenen Vermögen über den Tod hinaus Gutes tun wollen, haben die Möglichkeit, entweder eine eigene Stiftung zu gründen, um ihr Vermögen einer guten Sache zu widmen oder sie nutzen dafür die Kundenstiftung der Stadtsparkasse München, der sie ihr Vermögen mit einem </w:t>
      </w:r>
      <w:r w:rsidR="002C6FD5">
        <w:t>selbst gewählten</w:t>
      </w:r>
      <w:r>
        <w:t xml:space="preserve"> Förderzweck übertragen können.</w:t>
      </w:r>
    </w:p>
    <w:p w:rsidR="00472CE3" w:rsidRDefault="005F7170" w:rsidP="007C77DD">
      <w:pPr>
        <w:pBdr>
          <w:top w:val="nil"/>
          <w:left w:val="nil"/>
          <w:bottom w:val="nil"/>
          <w:right w:val="nil"/>
          <w:between w:val="nil"/>
        </w:pBdr>
        <w:spacing w:after="120" w:line="360" w:lineRule="auto"/>
        <w:ind w:right="1985"/>
      </w:pPr>
      <w:hyperlink r:id="rId10" w:history="1">
        <w:r w:rsidR="00472CE3">
          <w:rPr>
            <w:rStyle w:val="Hyperlink"/>
          </w:rPr>
          <w:t>Mehr Informationen zum Stiftungsmanagement finden Sie hier.</w:t>
        </w:r>
      </w:hyperlink>
    </w:p>
    <w:p w:rsidR="007F696E" w:rsidRDefault="005F7170" w:rsidP="007C77DD">
      <w:pPr>
        <w:pBdr>
          <w:top w:val="nil"/>
          <w:left w:val="nil"/>
          <w:bottom w:val="nil"/>
          <w:right w:val="nil"/>
          <w:between w:val="nil"/>
        </w:pBdr>
        <w:spacing w:after="120" w:line="360" w:lineRule="auto"/>
        <w:ind w:right="1985"/>
      </w:pPr>
      <w:hyperlink r:id="rId11" w:history="1">
        <w:r w:rsidR="007F696E">
          <w:rPr>
            <w:rStyle w:val="Hyperlink"/>
          </w:rPr>
          <w:t>Hier geht es zum Online-Magazin "Wir fördern, was Sie lieben".</w:t>
        </w:r>
      </w:hyperlink>
    </w:p>
    <w:p w:rsidR="00756D7C" w:rsidRDefault="00756D7C"/>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Fast jeder zweite Münchner vertraut in Geldfragen auf die Stadtsparkasse München, die seit 1824 besteht. Der Marktführer unter den Münchner Banken im Privatkundenbereich, bezogen auf Hauptbankverbindungen, bietet mit 5</w:t>
      </w:r>
      <w:r w:rsidR="007F696E">
        <w:rPr>
          <w:sz w:val="20"/>
          <w:szCs w:val="20"/>
        </w:rPr>
        <w:t>9</w:t>
      </w:r>
      <w:r>
        <w:rPr>
          <w:sz w:val="20"/>
          <w:szCs w:val="20"/>
        </w:rPr>
        <w:t xml:space="preserve"> Standorten das </w:t>
      </w:r>
      <w:r w:rsidR="00963F58">
        <w:rPr>
          <w:sz w:val="20"/>
          <w:szCs w:val="20"/>
        </w:rPr>
        <w:t xml:space="preserve">mit Abstand </w:t>
      </w:r>
      <w:r>
        <w:rPr>
          <w:sz w:val="20"/>
          <w:szCs w:val="20"/>
        </w:rPr>
        <w:t>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r w:rsidR="002C6FD5">
        <w:rPr>
          <w:sz w:val="20"/>
          <w:szCs w:val="20"/>
        </w:rPr>
        <w:t xml:space="preserve"> </w:t>
      </w:r>
      <w:r w:rsidR="005F7170">
        <w:rPr>
          <w:sz w:val="20"/>
          <w:szCs w:val="20"/>
        </w:rPr>
        <w:t>b</w:t>
      </w:r>
      <w:bookmarkStart w:id="0" w:name="_GoBack"/>
      <w:bookmarkEnd w:id="0"/>
      <w:r w:rsidR="005F7170">
        <w:rPr>
          <w:sz w:val="20"/>
          <w:szCs w:val="20"/>
        </w:rPr>
        <w:t>etterplace.org und die Stadtsparkasse</w:t>
      </w:r>
      <w:r w:rsidR="002C6FD5">
        <w:rPr>
          <w:sz w:val="20"/>
          <w:szCs w:val="20"/>
        </w:rPr>
        <w:t xml:space="preserve"> betreib</w:t>
      </w:r>
      <w:r w:rsidR="005F7170">
        <w:rPr>
          <w:sz w:val="20"/>
          <w:szCs w:val="20"/>
        </w:rPr>
        <w:t>en</w:t>
      </w:r>
      <w:r w:rsidR="002C6FD5">
        <w:rPr>
          <w:sz w:val="20"/>
          <w:szCs w:val="20"/>
        </w:rPr>
        <w:t xml:space="preserve"> außerdem für Münchens Bürger eine Online-Spendenplattform </w:t>
      </w:r>
      <w:r w:rsidR="005F7170">
        <w:rPr>
          <w:sz w:val="20"/>
          <w:szCs w:val="20"/>
        </w:rPr>
        <w:br/>
      </w:r>
      <w:r w:rsidR="002C6FD5">
        <w:rPr>
          <w:sz w:val="20"/>
          <w:szCs w:val="20"/>
        </w:rPr>
        <w:t xml:space="preserve">unter </w:t>
      </w:r>
      <w:hyperlink r:id="rId12" w:history="1">
        <w:r w:rsidR="002C6FD5" w:rsidRPr="002C6FD5">
          <w:rPr>
            <w:rStyle w:val="Hyperlink"/>
            <w:sz w:val="20"/>
            <w:szCs w:val="20"/>
          </w:rPr>
          <w:t>www.gut-fuer-muenchen.de</w:t>
        </w:r>
      </w:hyperlink>
      <w:r w:rsidR="002C6FD5">
        <w:rPr>
          <w:sz w:val="20"/>
          <w:szCs w:val="20"/>
        </w:rPr>
        <w:t>.</w:t>
      </w:r>
    </w:p>
    <w:sectPr w:rsidR="00756D7C" w:rsidSect="00A92DE3">
      <w:headerReference w:type="default" r:id="rId13"/>
      <w:footerReference w:type="default" r:id="rId14"/>
      <w:footerReference w:type="first" r:id="rId15"/>
      <w:pgSz w:w="11906" w:h="16838"/>
      <w:pgMar w:top="1843" w:right="1559" w:bottom="1560"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15" w:rsidRDefault="004F4A15">
      <w:r>
        <w:separator/>
      </w:r>
    </w:p>
  </w:endnote>
  <w:endnote w:type="continuationSeparator" w:id="0">
    <w:p w:rsidR="004F4A15" w:rsidRDefault="004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44A261A2" wp14:editId="2488506E">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1C8257DE" wp14:editId="4F719333">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E20B37">
      <w:rPr>
        <w:color w:val="000000"/>
        <w:sz w:val="14"/>
        <w:szCs w:val="14"/>
      </w:rPr>
      <w:t>10</w:t>
    </w:r>
    <w:r w:rsidR="00B03DAC">
      <w:rPr>
        <w:color w:val="000000"/>
        <w:sz w:val="14"/>
        <w:szCs w:val="14"/>
      </w:rPr>
      <w:t>.0</w:t>
    </w:r>
    <w:r w:rsidR="00387214">
      <w:rPr>
        <w:color w:val="000000"/>
        <w:sz w:val="14"/>
        <w:szCs w:val="14"/>
      </w:rPr>
      <w:t>9</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5F7170">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5F7170">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93206">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15" w:rsidRDefault="004F4A15">
      <w:r>
        <w:separator/>
      </w:r>
    </w:p>
  </w:footnote>
  <w:footnote w:type="continuationSeparator" w:id="0">
    <w:p w:rsidR="004F4A15" w:rsidRDefault="004F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13C23A7" wp14:editId="1B30896C">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607C6"/>
    <w:rsid w:val="000740E7"/>
    <w:rsid w:val="00085EFF"/>
    <w:rsid w:val="0009432C"/>
    <w:rsid w:val="000D5B03"/>
    <w:rsid w:val="000F5333"/>
    <w:rsid w:val="00124FBB"/>
    <w:rsid w:val="001263B9"/>
    <w:rsid w:val="001C03FA"/>
    <w:rsid w:val="00227F31"/>
    <w:rsid w:val="00293F72"/>
    <w:rsid w:val="002C6FD5"/>
    <w:rsid w:val="002E244E"/>
    <w:rsid w:val="002E37E7"/>
    <w:rsid w:val="002E674C"/>
    <w:rsid w:val="003129C9"/>
    <w:rsid w:val="00324E0E"/>
    <w:rsid w:val="00330287"/>
    <w:rsid w:val="003350F4"/>
    <w:rsid w:val="0034338E"/>
    <w:rsid w:val="00387214"/>
    <w:rsid w:val="003B2CCA"/>
    <w:rsid w:val="003D4729"/>
    <w:rsid w:val="003F2E37"/>
    <w:rsid w:val="00455FBB"/>
    <w:rsid w:val="00472CE3"/>
    <w:rsid w:val="00493206"/>
    <w:rsid w:val="004D6CE9"/>
    <w:rsid w:val="004F4A15"/>
    <w:rsid w:val="0055675D"/>
    <w:rsid w:val="00587EEF"/>
    <w:rsid w:val="00594065"/>
    <w:rsid w:val="005F7170"/>
    <w:rsid w:val="006031A6"/>
    <w:rsid w:val="00667BFA"/>
    <w:rsid w:val="0069083C"/>
    <w:rsid w:val="00694111"/>
    <w:rsid w:val="006B0CA4"/>
    <w:rsid w:val="006D3FBA"/>
    <w:rsid w:val="00756D7C"/>
    <w:rsid w:val="007C3505"/>
    <w:rsid w:val="007C77DD"/>
    <w:rsid w:val="007F0985"/>
    <w:rsid w:val="007F416A"/>
    <w:rsid w:val="007F696E"/>
    <w:rsid w:val="008C0E53"/>
    <w:rsid w:val="008D0E69"/>
    <w:rsid w:val="008F380D"/>
    <w:rsid w:val="00933AAF"/>
    <w:rsid w:val="009453D5"/>
    <w:rsid w:val="00951C40"/>
    <w:rsid w:val="00963F58"/>
    <w:rsid w:val="00981615"/>
    <w:rsid w:val="00981BE2"/>
    <w:rsid w:val="00A4056B"/>
    <w:rsid w:val="00A44A46"/>
    <w:rsid w:val="00A92DE3"/>
    <w:rsid w:val="00AC6A0C"/>
    <w:rsid w:val="00B03DAC"/>
    <w:rsid w:val="00B05287"/>
    <w:rsid w:val="00B05AB3"/>
    <w:rsid w:val="00B226DA"/>
    <w:rsid w:val="00B466D9"/>
    <w:rsid w:val="00C20ABB"/>
    <w:rsid w:val="00C3147B"/>
    <w:rsid w:val="00D1767F"/>
    <w:rsid w:val="00D37C1E"/>
    <w:rsid w:val="00E05E04"/>
    <w:rsid w:val="00E062C8"/>
    <w:rsid w:val="00E20B37"/>
    <w:rsid w:val="00E5075B"/>
    <w:rsid w:val="00F0298C"/>
    <w:rsid w:val="00F12574"/>
    <w:rsid w:val="00F35E00"/>
    <w:rsid w:val="00FC63F9"/>
    <w:rsid w:val="00FD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engagement.sskm.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ngagement.sskm.de" TargetMode="External"/><Relationship Id="rId12" Type="http://schemas.openxmlformats.org/officeDocument/2006/relationships/hyperlink" Target="www.gut-fuer-muenchen.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engagement.sskm.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www.sskm.de/de/home/beratung/stiftungsmanagement.html" TargetMode="External"/><Relationship Id="rId4" Type="http://schemas.openxmlformats.org/officeDocument/2006/relationships/webSettings" Target="webSettings.xml"/><Relationship Id="rId9" Type="http://schemas.openxmlformats.org/officeDocument/2006/relationships/hyperlink" Target="http://www.gut-fuer-muench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FDE2B95F.dotm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11</cp:revision>
  <cp:lastPrinted>2018-09-10T11:43:00Z</cp:lastPrinted>
  <dcterms:created xsi:type="dcterms:W3CDTF">2018-09-10T08:34:00Z</dcterms:created>
  <dcterms:modified xsi:type="dcterms:W3CDTF">2018-09-10T12:54:00Z</dcterms:modified>
</cp:coreProperties>
</file>