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3750" w:type="dxa"/>
        <w:tblInd w:w="-34" w:type="dxa"/>
        <w:tblLayout w:type="fixed"/>
        <w:tblLook w:val="04A0" w:firstRow="1" w:lastRow="0" w:firstColumn="1" w:lastColumn="0" w:noHBand="0" w:noVBand="1"/>
      </w:tblPr>
      <w:tblGrid>
        <w:gridCol w:w="13750"/>
      </w:tblGrid>
      <w:tr w:rsidR="00574E1C" w:rsidRPr="00AD09E9" w14:paraId="44159720" w14:textId="77777777" w:rsidTr="00D11E4E">
        <w:trPr>
          <w:trHeight w:val="840"/>
        </w:trPr>
        <w:tc>
          <w:tcPr>
            <w:tcW w:w="13750" w:type="dxa"/>
          </w:tcPr>
          <w:p w14:paraId="4E123ABA" w14:textId="0FE3C580" w:rsidR="00970E6D" w:rsidRPr="00AD09E9" w:rsidRDefault="00C35051" w:rsidP="00574E1C">
            <w:pPr>
              <w:rPr>
                <w:rFonts w:cstheme="minorHAnsi"/>
                <w:lang w:val="en-US"/>
              </w:rPr>
            </w:pPr>
            <w:r w:rsidRPr="00AD09E9">
              <w:rPr>
                <w:rFonts w:cstheme="minorHAnsi"/>
                <w:b/>
                <w:lang w:val="en-US"/>
              </w:rPr>
              <w:t xml:space="preserve">Alert </w:t>
            </w:r>
            <w:r w:rsidR="00970E6D" w:rsidRPr="00AD09E9">
              <w:rPr>
                <w:rFonts w:cstheme="minorHAnsi"/>
                <w:b/>
                <w:lang w:val="en-US"/>
              </w:rPr>
              <w:t xml:space="preserve">Type: </w:t>
            </w:r>
            <w:r w:rsidR="00AD09E9" w:rsidRPr="00AD09E9">
              <w:rPr>
                <w:rFonts w:cstheme="minorHAnsi"/>
                <w:bCs/>
                <w:lang w:val="en-US"/>
              </w:rPr>
              <w:t>Rapid Onset Crisis</w:t>
            </w:r>
          </w:p>
          <w:p w14:paraId="2C63C5F1" w14:textId="1D3EF4D1" w:rsidR="00574E1C" w:rsidRPr="006329D4" w:rsidRDefault="00970E6D" w:rsidP="00574E1C">
            <w:pPr>
              <w:rPr>
                <w:rFonts w:cstheme="minorHAnsi"/>
                <w:lang w:val="en-US"/>
              </w:rPr>
            </w:pPr>
            <w:r w:rsidRPr="006329D4">
              <w:rPr>
                <w:rFonts w:cstheme="minorHAnsi"/>
                <w:b/>
                <w:lang w:val="en-US"/>
              </w:rPr>
              <w:t>Alert</w:t>
            </w:r>
            <w:r w:rsidRPr="006329D4">
              <w:rPr>
                <w:rFonts w:cstheme="minorHAnsi"/>
                <w:lang w:val="en-US"/>
              </w:rPr>
              <w:t xml:space="preserve"> </w:t>
            </w:r>
            <w:r w:rsidRPr="006329D4">
              <w:rPr>
                <w:rFonts w:cstheme="minorHAnsi"/>
                <w:b/>
                <w:lang w:val="en-US"/>
              </w:rPr>
              <w:t>Title</w:t>
            </w:r>
            <w:r w:rsidR="00C35051" w:rsidRPr="006329D4">
              <w:rPr>
                <w:rFonts w:cstheme="minorHAnsi"/>
                <w:b/>
                <w:lang w:val="en-US"/>
              </w:rPr>
              <w:t>:</w:t>
            </w:r>
            <w:r w:rsidR="007800C7" w:rsidRPr="006329D4">
              <w:rPr>
                <w:rFonts w:cstheme="minorHAnsi"/>
                <w:lang w:val="en-US"/>
              </w:rPr>
              <w:t xml:space="preserve"> </w:t>
            </w:r>
            <w:r w:rsidR="00AD09E9" w:rsidRPr="00AD09E9">
              <w:rPr>
                <w:lang w:val="en-US"/>
              </w:rPr>
              <w:t>Increased food insecurity and malnutrition caused by DROUGHT</w:t>
            </w:r>
          </w:p>
          <w:p w14:paraId="0AAD7643" w14:textId="77777777" w:rsidR="008B2292" w:rsidRPr="006329D4" w:rsidRDefault="008B2292" w:rsidP="00574E1C">
            <w:pPr>
              <w:rPr>
                <w:rFonts w:cstheme="minorHAnsi"/>
                <w:lang w:val="en-US"/>
              </w:rPr>
            </w:pPr>
          </w:p>
          <w:p w14:paraId="3B9E954C" w14:textId="4DC485F1" w:rsidR="00D02AC0" w:rsidRPr="00AD09E9" w:rsidRDefault="00D02AC0" w:rsidP="00D02AC0">
            <w:pPr>
              <w:rPr>
                <w:rFonts w:cstheme="minorHAnsi"/>
                <w:lang w:val="en-US"/>
              </w:rPr>
            </w:pPr>
            <w:r w:rsidRPr="006329D4">
              <w:rPr>
                <w:rFonts w:cstheme="minorHAnsi"/>
                <w:b/>
                <w:lang w:val="en-US"/>
              </w:rPr>
              <w:t>Alerting Organisation</w:t>
            </w:r>
            <w:r w:rsidR="00883BB8" w:rsidRPr="006329D4">
              <w:rPr>
                <w:rFonts w:cstheme="minorHAnsi"/>
                <w:b/>
                <w:lang w:val="en-US"/>
              </w:rPr>
              <w:t>(s)</w:t>
            </w:r>
            <w:r w:rsidRPr="006329D4">
              <w:rPr>
                <w:rFonts w:cstheme="minorHAnsi"/>
                <w:b/>
                <w:lang w:val="en-US"/>
              </w:rPr>
              <w:t xml:space="preserve">: </w:t>
            </w:r>
            <w:r w:rsidR="00AD09E9" w:rsidRPr="00AD09E9">
              <w:rPr>
                <w:lang w:val="en-US"/>
              </w:rPr>
              <w:t>Action for Relief and Development (ARD)</w:t>
            </w:r>
          </w:p>
          <w:p w14:paraId="4DD25DD9" w14:textId="2C9DC461" w:rsidR="00C35051" w:rsidRPr="006329D4" w:rsidRDefault="00C35051" w:rsidP="00574E1C">
            <w:pPr>
              <w:rPr>
                <w:rFonts w:cstheme="minorHAnsi"/>
                <w:lang w:val="en-US"/>
              </w:rPr>
            </w:pPr>
            <w:r w:rsidRPr="006329D4">
              <w:rPr>
                <w:rFonts w:cstheme="minorHAnsi"/>
                <w:b/>
                <w:lang w:val="en-US"/>
              </w:rPr>
              <w:t xml:space="preserve">Date Received: </w:t>
            </w:r>
            <w:r w:rsidR="00AD09E9">
              <w:rPr>
                <w:rFonts w:cstheme="minorHAnsi"/>
                <w:lang w:val="en-US"/>
              </w:rPr>
              <w:t>13-09-2021</w:t>
            </w:r>
          </w:p>
          <w:p w14:paraId="1A67347D" w14:textId="115ED6E4" w:rsidR="00C35051" w:rsidRPr="006329D4" w:rsidRDefault="00C35051" w:rsidP="00574E1C">
            <w:pPr>
              <w:rPr>
                <w:rFonts w:cstheme="minorHAnsi"/>
                <w:lang w:val="en-US"/>
              </w:rPr>
            </w:pPr>
            <w:r w:rsidRPr="006329D4">
              <w:rPr>
                <w:rFonts w:cstheme="minorHAnsi"/>
                <w:b/>
                <w:lang w:val="en-US"/>
              </w:rPr>
              <w:t xml:space="preserve">Decision Date: </w:t>
            </w:r>
            <w:r w:rsidR="00AD09E9">
              <w:rPr>
                <w:rFonts w:cstheme="minorHAnsi"/>
                <w:lang w:val="en-US"/>
              </w:rPr>
              <w:t>15-09-2021</w:t>
            </w:r>
          </w:p>
          <w:p w14:paraId="04554D0C" w14:textId="77777777" w:rsidR="007F6DA3" w:rsidRPr="006329D4" w:rsidRDefault="007F6DA3" w:rsidP="00574E1C">
            <w:pPr>
              <w:rPr>
                <w:rFonts w:cstheme="minorHAnsi"/>
                <w:lang w:val="en-US"/>
              </w:rPr>
            </w:pPr>
            <w:r w:rsidRPr="006329D4">
              <w:rPr>
                <w:rFonts w:cstheme="minorHAnsi"/>
                <w:b/>
                <w:lang w:val="en-US"/>
              </w:rPr>
              <w:t xml:space="preserve">By: </w:t>
            </w:r>
            <w:r w:rsidRPr="006329D4">
              <w:rPr>
                <w:rFonts w:cstheme="minorHAnsi"/>
                <w:lang w:val="en-US"/>
              </w:rPr>
              <w:t>DERF Fund Management</w:t>
            </w:r>
          </w:p>
          <w:p w14:paraId="57796A39" w14:textId="77777777" w:rsidR="00C35051" w:rsidRPr="006329D4" w:rsidRDefault="00C35051" w:rsidP="00574E1C">
            <w:pPr>
              <w:rPr>
                <w:rFonts w:cstheme="minorHAnsi"/>
                <w:lang w:val="en-US"/>
              </w:rPr>
            </w:pPr>
          </w:p>
          <w:p w14:paraId="2C398C3D" w14:textId="23A1E116" w:rsidR="00B1163B" w:rsidRPr="00AD09E9" w:rsidRDefault="00D11E4E" w:rsidP="000D033F">
            <w:pPr>
              <w:pStyle w:val="Default"/>
              <w:rPr>
                <w:rFonts w:asciiTheme="minorHAnsi" w:hAnsiTheme="minorHAnsi" w:cstheme="minorHAnsi"/>
                <w:bCs/>
                <w:color w:val="000000" w:themeColor="text1"/>
                <w:sz w:val="22"/>
                <w:szCs w:val="22"/>
                <w:lang w:val="en-US"/>
              </w:rPr>
            </w:pPr>
            <w:bookmarkStart w:id="0" w:name="_Hlk54854227"/>
            <w:r w:rsidRPr="006329D4">
              <w:rPr>
                <w:rFonts w:asciiTheme="minorHAnsi" w:hAnsiTheme="minorHAnsi" w:cstheme="minorHAnsi"/>
                <w:b/>
                <w:sz w:val="22"/>
                <w:szCs w:val="22"/>
                <w:lang w:val="en-US"/>
              </w:rPr>
              <w:t>Crisis</w:t>
            </w:r>
            <w:r w:rsidR="000357B8">
              <w:rPr>
                <w:rFonts w:asciiTheme="minorHAnsi" w:hAnsiTheme="minorHAnsi" w:cstheme="minorHAnsi"/>
                <w:b/>
                <w:sz w:val="22"/>
                <w:szCs w:val="22"/>
                <w:lang w:val="en-US"/>
              </w:rPr>
              <w:t xml:space="preserve"> country and</w:t>
            </w:r>
            <w:r w:rsidRPr="006329D4">
              <w:rPr>
                <w:rFonts w:asciiTheme="minorHAnsi" w:hAnsiTheme="minorHAnsi" w:cstheme="minorHAnsi"/>
                <w:b/>
                <w:sz w:val="22"/>
                <w:szCs w:val="22"/>
                <w:lang w:val="en-US"/>
              </w:rPr>
              <w:t xml:space="preserve"> location(s</w:t>
            </w:r>
            <w:r w:rsidRPr="00B1163B">
              <w:rPr>
                <w:rFonts w:asciiTheme="minorHAnsi" w:hAnsiTheme="minorHAnsi" w:cstheme="minorHAnsi"/>
                <w:b/>
                <w:sz w:val="22"/>
                <w:szCs w:val="22"/>
                <w:lang w:val="en-US"/>
              </w:rPr>
              <w:t>):</w:t>
            </w:r>
            <w:r w:rsidR="00A43DD1" w:rsidRPr="00B1163B">
              <w:rPr>
                <w:rFonts w:asciiTheme="minorHAnsi" w:hAnsiTheme="minorHAnsi" w:cstheme="minorHAnsi"/>
                <w:bCs/>
                <w:color w:val="000000" w:themeColor="text1"/>
                <w:sz w:val="22"/>
                <w:szCs w:val="22"/>
                <w:lang w:val="en-GB"/>
              </w:rPr>
              <w:t xml:space="preserve"> </w:t>
            </w:r>
            <w:r w:rsidR="00AD09E9" w:rsidRPr="00AD09E9">
              <w:rPr>
                <w:lang w:val="en-US"/>
              </w:rPr>
              <w:t>Somalia/Gedo, Bay, Bakool, Galmudug</w:t>
            </w:r>
          </w:p>
          <w:p w14:paraId="0F34B03E" w14:textId="77777777" w:rsidR="00D11E4E" w:rsidRPr="006329D4" w:rsidRDefault="00D11E4E" w:rsidP="00574E1C">
            <w:pPr>
              <w:rPr>
                <w:rFonts w:cstheme="minorHAnsi"/>
                <w:lang w:val="en-US"/>
              </w:rPr>
            </w:pPr>
          </w:p>
          <w:p w14:paraId="735A0274" w14:textId="6E1635F9" w:rsidR="00DF494B" w:rsidRPr="00B1163B" w:rsidRDefault="00142F46" w:rsidP="00970E6D">
            <w:pPr>
              <w:rPr>
                <w:rFonts w:cstheme="minorHAnsi"/>
                <w:u w:val="single"/>
                <w:lang w:val="en-US"/>
              </w:rPr>
            </w:pPr>
            <w:r w:rsidRPr="00B1163B">
              <w:rPr>
                <w:rFonts w:cstheme="minorHAnsi"/>
                <w:b/>
                <w:u w:val="single"/>
                <w:lang w:val="en-US"/>
              </w:rPr>
              <w:t>Decision</w:t>
            </w:r>
            <w:r w:rsidR="00970E6D" w:rsidRPr="00B1163B">
              <w:rPr>
                <w:rFonts w:cstheme="minorHAnsi"/>
                <w:b/>
                <w:u w:val="single"/>
                <w:lang w:val="en-US"/>
              </w:rPr>
              <w:t xml:space="preserve">: </w:t>
            </w:r>
            <w:r w:rsidR="00DF494B" w:rsidRPr="00B1163B">
              <w:rPr>
                <w:rFonts w:cstheme="minorHAnsi"/>
                <w:u w:val="single"/>
                <w:lang w:val="en-US"/>
              </w:rPr>
              <w:t xml:space="preserve">Not to activate the DERF to respond to </w:t>
            </w:r>
            <w:r w:rsidR="00AD09E9">
              <w:rPr>
                <w:rFonts w:cstheme="minorHAnsi"/>
                <w:u w:val="single"/>
                <w:lang w:val="en-US"/>
              </w:rPr>
              <w:t xml:space="preserve">drought in </w:t>
            </w:r>
            <w:proofErr w:type="spellStart"/>
            <w:r w:rsidR="00AD09E9">
              <w:rPr>
                <w:rFonts w:cstheme="minorHAnsi"/>
                <w:u w:val="single"/>
                <w:lang w:val="en-US"/>
              </w:rPr>
              <w:t>Somaila</w:t>
            </w:r>
            <w:proofErr w:type="spellEnd"/>
          </w:p>
          <w:p w14:paraId="5F1D045D" w14:textId="77777777" w:rsidR="00DF494B" w:rsidRPr="006329D4" w:rsidRDefault="00DF494B" w:rsidP="00970E6D">
            <w:pPr>
              <w:rPr>
                <w:rFonts w:cstheme="minorHAnsi"/>
                <w:b/>
                <w:lang w:val="en-US"/>
              </w:rPr>
            </w:pPr>
          </w:p>
          <w:p w14:paraId="29AD56A9" w14:textId="2C79D3CE" w:rsidR="000251F2" w:rsidRDefault="00B53D23" w:rsidP="00D11E4E">
            <w:pPr>
              <w:rPr>
                <w:rFonts w:cstheme="minorHAnsi"/>
                <w:lang w:val="en-US"/>
              </w:rPr>
            </w:pPr>
            <w:r w:rsidRPr="006329D4">
              <w:rPr>
                <w:rFonts w:cstheme="minorHAnsi"/>
                <w:b/>
                <w:lang w:val="en-US"/>
              </w:rPr>
              <w:t>Reason</w:t>
            </w:r>
            <w:r w:rsidR="00142F46" w:rsidRPr="006329D4">
              <w:rPr>
                <w:rFonts w:cstheme="minorHAnsi"/>
                <w:b/>
                <w:lang w:val="en-US"/>
              </w:rPr>
              <w:t>:</w:t>
            </w:r>
          </w:p>
          <w:p w14:paraId="04B78C7A" w14:textId="77777777" w:rsidR="00AD09E9" w:rsidRDefault="00AD09E9" w:rsidP="00AD09E9">
            <w:pPr>
              <w:rPr>
                <w:lang w:val="en-US"/>
              </w:rPr>
            </w:pPr>
            <w:r>
              <w:rPr>
                <w:lang w:val="en-US"/>
              </w:rPr>
              <w:t xml:space="preserve">The DERF only can activate a call if it can respond to it within the first 3 months of the start of a crisis (or a spike in a protracted crisis). In this case, there has not been any recent event that indicates the start of the crisis within the given timeframe. </w:t>
            </w:r>
          </w:p>
          <w:p w14:paraId="1094D27B" w14:textId="77777777" w:rsidR="00AD09E9" w:rsidRDefault="00AD09E9" w:rsidP="00AD09E9">
            <w:pPr>
              <w:rPr>
                <w:lang w:val="en-US"/>
              </w:rPr>
            </w:pPr>
            <w:r>
              <w:rPr>
                <w:lang w:val="en-US"/>
              </w:rPr>
              <w:t xml:space="preserve">Responding within 3 months of the start of a crisis means that the entire process of receiving alerts, opening a call, assessing applications, approving interventions, and starting the work of implementation </w:t>
            </w:r>
            <w:proofErr w:type="gramStart"/>
            <w:r>
              <w:rPr>
                <w:lang w:val="en-US"/>
              </w:rPr>
              <w:t>has to</w:t>
            </w:r>
            <w:proofErr w:type="gramEnd"/>
            <w:r>
              <w:rPr>
                <w:lang w:val="en-US"/>
              </w:rPr>
              <w:t xml:space="preserve"> be done within the 3 months. Therefore, it is important that the DERF receives an alert no later than approximately 4 weeks after the start of the humanitarian crisis.</w:t>
            </w:r>
          </w:p>
          <w:p w14:paraId="7AE01501" w14:textId="3B5EA293" w:rsidR="000251F2" w:rsidRDefault="000251F2" w:rsidP="00D11E4E">
            <w:pPr>
              <w:rPr>
                <w:lang w:val="en-US"/>
              </w:rPr>
            </w:pPr>
          </w:p>
          <w:p w14:paraId="388FC535" w14:textId="77777777" w:rsidR="000357B8" w:rsidRPr="00112774" w:rsidRDefault="000357B8" w:rsidP="00D11E4E">
            <w:pPr>
              <w:rPr>
                <w:lang w:val="en-US"/>
              </w:rPr>
            </w:pPr>
          </w:p>
          <w:p w14:paraId="4B49DB90" w14:textId="77777777" w:rsidR="006329D4" w:rsidRDefault="00E42343" w:rsidP="006329D4">
            <w:pPr>
              <w:rPr>
                <w:lang w:val="en-US"/>
              </w:rPr>
            </w:pPr>
            <w:r w:rsidRPr="00112774">
              <w:rPr>
                <w:b/>
                <w:lang w:val="en-US"/>
              </w:rPr>
              <w:t>Assessment:</w:t>
            </w:r>
            <w:r w:rsidRPr="00112774">
              <w:rPr>
                <w:lang w:val="en-US"/>
              </w:rPr>
              <w:t xml:space="preserve"> </w:t>
            </w:r>
          </w:p>
          <w:bookmarkEnd w:id="0"/>
          <w:p w14:paraId="69ECFE81" w14:textId="77777777" w:rsidR="00AD09E9" w:rsidRDefault="00AD09E9" w:rsidP="00AD09E9">
            <w:pPr>
              <w:rPr>
                <w:lang w:val="en-US"/>
              </w:rPr>
            </w:pPr>
            <w:r>
              <w:rPr>
                <w:lang w:val="en-US"/>
              </w:rPr>
              <w:t>The situation of drought is described well in the alert note. The drought is a protracted crisis, continuing from 2020 into the first quarter of 2021. Rains in March to June were too little and followed by Locust outbreak and the continuation of the drought since July and up to date. The Somalia humanitarian Bulletin, August 2021 (OCHA) assesses that a mild to moderate drought is likely to persist until the beginning of 2022.</w:t>
            </w:r>
          </w:p>
          <w:p w14:paraId="43EC9033" w14:textId="35EA1A4F" w:rsidR="00AD09E9" w:rsidRDefault="00AD09E9" w:rsidP="00AD09E9">
            <w:pPr>
              <w:rPr>
                <w:lang w:val="en-US"/>
              </w:rPr>
            </w:pPr>
            <w:r>
              <w:rPr>
                <w:lang w:val="en-US"/>
              </w:rPr>
              <w:t>The alert does not provide sufficient information to document the starting date of the described crisis within the timeframe of being able to respond to within a 3</w:t>
            </w:r>
            <w:r>
              <w:rPr>
                <w:lang w:val="en-US"/>
              </w:rPr>
              <w:t>-</w:t>
            </w:r>
            <w:r>
              <w:rPr>
                <w:lang w:val="en-US"/>
              </w:rPr>
              <w:t>month period. The provided starting date of 13</w:t>
            </w:r>
            <w:r w:rsidRPr="00BD78B6">
              <w:rPr>
                <w:vertAlign w:val="superscript"/>
                <w:lang w:val="en-US"/>
              </w:rPr>
              <w:t>th</w:t>
            </w:r>
            <w:r>
              <w:rPr>
                <w:lang w:val="en-US"/>
              </w:rPr>
              <w:t xml:space="preserve"> of September is no correct, as it only is the date of the last daily flash-update from ECHO. Also, the date mentioned on the “appeal for urgent humanitarian assistance” ( 19</w:t>
            </w:r>
            <w:r w:rsidRPr="00BD78B6">
              <w:rPr>
                <w:vertAlign w:val="superscript"/>
                <w:lang w:val="en-US"/>
              </w:rPr>
              <w:t>th</w:t>
            </w:r>
            <w:r>
              <w:rPr>
                <w:lang w:val="en-US"/>
              </w:rPr>
              <w:t xml:space="preserve"> of august) by the governor of Gedo region cannot be taken as the starting date of the humanitarian crisis. The document mentions the severe drought of the past quarter as the reason for the appeal. </w:t>
            </w:r>
          </w:p>
          <w:p w14:paraId="6564DF99" w14:textId="77777777" w:rsidR="00AD09E9" w:rsidRDefault="00AD09E9" w:rsidP="00AD09E9">
            <w:pPr>
              <w:rPr>
                <w:lang w:val="en-US"/>
              </w:rPr>
            </w:pPr>
            <w:r>
              <w:rPr>
                <w:lang w:val="en-US"/>
              </w:rPr>
              <w:t xml:space="preserve">Somalia water cluster dashboard mentions a spike in cholera outbreak during the months of June. This spike is also not timely for activating the DERF within the possible timeframe. </w:t>
            </w:r>
          </w:p>
          <w:p w14:paraId="494A57C2" w14:textId="3FBB1D88" w:rsidR="00975B6A" w:rsidRPr="00AD09E9" w:rsidRDefault="00AD09E9" w:rsidP="00AD09E9">
            <w:pPr>
              <w:rPr>
                <w:lang w:val="en-US"/>
              </w:rPr>
            </w:pPr>
            <w:r>
              <w:rPr>
                <w:lang w:val="en-US"/>
              </w:rPr>
              <w:t xml:space="preserve">All in all, the crisis described does not fall under the mandate for the DERF to activate a call. </w:t>
            </w:r>
          </w:p>
        </w:tc>
      </w:tr>
    </w:tbl>
    <w:p w14:paraId="0B5384D0" w14:textId="77777777" w:rsidR="00C33388" w:rsidRPr="008A03CD" w:rsidRDefault="00C33388" w:rsidP="008A03CD">
      <w:pPr>
        <w:spacing w:after="0"/>
        <w:rPr>
          <w:sz w:val="14"/>
          <w:szCs w:val="14"/>
          <w:lang w:val="en-US"/>
        </w:rPr>
      </w:pPr>
    </w:p>
    <w:sectPr w:rsidR="00C33388" w:rsidRPr="008A03CD" w:rsidSect="008A03CD">
      <w:pgSz w:w="16838" w:h="11906" w:orient="landscape"/>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8CD"/>
    <w:multiLevelType w:val="hybridMultilevel"/>
    <w:tmpl w:val="F0CE9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3452B"/>
    <w:multiLevelType w:val="hybridMultilevel"/>
    <w:tmpl w:val="9C48E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AE4B15"/>
    <w:multiLevelType w:val="hybridMultilevel"/>
    <w:tmpl w:val="3A265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872D80"/>
    <w:multiLevelType w:val="hybridMultilevel"/>
    <w:tmpl w:val="C6AC2D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36742B"/>
    <w:multiLevelType w:val="hybridMultilevel"/>
    <w:tmpl w:val="AB36BC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15263BC"/>
    <w:multiLevelType w:val="hybridMultilevel"/>
    <w:tmpl w:val="DAA209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F4B6578"/>
    <w:multiLevelType w:val="hybridMultilevel"/>
    <w:tmpl w:val="052CA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E0C08"/>
    <w:rsid w:val="000246E0"/>
    <w:rsid w:val="000251F2"/>
    <w:rsid w:val="000357B8"/>
    <w:rsid w:val="0004662A"/>
    <w:rsid w:val="000A664E"/>
    <w:rsid w:val="000C30F7"/>
    <w:rsid w:val="000D033F"/>
    <w:rsid w:val="000D2E9C"/>
    <w:rsid w:val="00112774"/>
    <w:rsid w:val="001273F2"/>
    <w:rsid w:val="00142F46"/>
    <w:rsid w:val="001614E0"/>
    <w:rsid w:val="001D247B"/>
    <w:rsid w:val="001E798B"/>
    <w:rsid w:val="001F3095"/>
    <w:rsid w:val="00222838"/>
    <w:rsid w:val="00263922"/>
    <w:rsid w:val="002909EC"/>
    <w:rsid w:val="002B36C7"/>
    <w:rsid w:val="002B3E3C"/>
    <w:rsid w:val="002E164F"/>
    <w:rsid w:val="002E3C82"/>
    <w:rsid w:val="003371A0"/>
    <w:rsid w:val="0034432A"/>
    <w:rsid w:val="00382193"/>
    <w:rsid w:val="00386626"/>
    <w:rsid w:val="003A3098"/>
    <w:rsid w:val="003D73F3"/>
    <w:rsid w:val="003E5AA6"/>
    <w:rsid w:val="003F1A43"/>
    <w:rsid w:val="004533FC"/>
    <w:rsid w:val="00465581"/>
    <w:rsid w:val="004B1B1A"/>
    <w:rsid w:val="004B4A1F"/>
    <w:rsid w:val="004C3566"/>
    <w:rsid w:val="005229EC"/>
    <w:rsid w:val="0056533E"/>
    <w:rsid w:val="00574E1C"/>
    <w:rsid w:val="005A4F5C"/>
    <w:rsid w:val="005A7DE9"/>
    <w:rsid w:val="005B01F0"/>
    <w:rsid w:val="005B2FBD"/>
    <w:rsid w:val="005C388A"/>
    <w:rsid w:val="005D1561"/>
    <w:rsid w:val="00603203"/>
    <w:rsid w:val="00626170"/>
    <w:rsid w:val="006329D4"/>
    <w:rsid w:val="00640387"/>
    <w:rsid w:val="006475C1"/>
    <w:rsid w:val="006539DE"/>
    <w:rsid w:val="00656B41"/>
    <w:rsid w:val="00667220"/>
    <w:rsid w:val="00691C14"/>
    <w:rsid w:val="006D3257"/>
    <w:rsid w:val="006F042E"/>
    <w:rsid w:val="00703850"/>
    <w:rsid w:val="00732C0B"/>
    <w:rsid w:val="007401DE"/>
    <w:rsid w:val="00765FE1"/>
    <w:rsid w:val="007800C7"/>
    <w:rsid w:val="007857FD"/>
    <w:rsid w:val="007F6DA3"/>
    <w:rsid w:val="00817337"/>
    <w:rsid w:val="008337EE"/>
    <w:rsid w:val="008353F8"/>
    <w:rsid w:val="008635A7"/>
    <w:rsid w:val="00883558"/>
    <w:rsid w:val="00883BB8"/>
    <w:rsid w:val="008A03CD"/>
    <w:rsid w:val="008B2292"/>
    <w:rsid w:val="008B2607"/>
    <w:rsid w:val="008C7706"/>
    <w:rsid w:val="008D4257"/>
    <w:rsid w:val="008D6912"/>
    <w:rsid w:val="008F0BC2"/>
    <w:rsid w:val="008F774F"/>
    <w:rsid w:val="00904DE3"/>
    <w:rsid w:val="009236A9"/>
    <w:rsid w:val="009430D3"/>
    <w:rsid w:val="009601D1"/>
    <w:rsid w:val="00970E6D"/>
    <w:rsid w:val="00971F2D"/>
    <w:rsid w:val="00974B78"/>
    <w:rsid w:val="00975B6A"/>
    <w:rsid w:val="00980426"/>
    <w:rsid w:val="009A0B50"/>
    <w:rsid w:val="009A3763"/>
    <w:rsid w:val="009F6712"/>
    <w:rsid w:val="00A10FB7"/>
    <w:rsid w:val="00A34E60"/>
    <w:rsid w:val="00A43DD1"/>
    <w:rsid w:val="00A95021"/>
    <w:rsid w:val="00AD09E9"/>
    <w:rsid w:val="00AE0C08"/>
    <w:rsid w:val="00AE13C5"/>
    <w:rsid w:val="00AF4FFD"/>
    <w:rsid w:val="00AF5658"/>
    <w:rsid w:val="00B0327C"/>
    <w:rsid w:val="00B1163B"/>
    <w:rsid w:val="00B16741"/>
    <w:rsid w:val="00B2020F"/>
    <w:rsid w:val="00B26A3C"/>
    <w:rsid w:val="00B3205A"/>
    <w:rsid w:val="00B37278"/>
    <w:rsid w:val="00B53D23"/>
    <w:rsid w:val="00B75326"/>
    <w:rsid w:val="00BB3B30"/>
    <w:rsid w:val="00BD01EA"/>
    <w:rsid w:val="00BD2687"/>
    <w:rsid w:val="00BF5FD2"/>
    <w:rsid w:val="00C178F2"/>
    <w:rsid w:val="00C33388"/>
    <w:rsid w:val="00C35051"/>
    <w:rsid w:val="00C56B4A"/>
    <w:rsid w:val="00C93494"/>
    <w:rsid w:val="00CB23E9"/>
    <w:rsid w:val="00CC179D"/>
    <w:rsid w:val="00CF7CC6"/>
    <w:rsid w:val="00D02257"/>
    <w:rsid w:val="00D02AC0"/>
    <w:rsid w:val="00D11E4E"/>
    <w:rsid w:val="00D5106F"/>
    <w:rsid w:val="00D758CA"/>
    <w:rsid w:val="00D95245"/>
    <w:rsid w:val="00DB25F5"/>
    <w:rsid w:val="00DC5580"/>
    <w:rsid w:val="00DC6EE5"/>
    <w:rsid w:val="00DF494B"/>
    <w:rsid w:val="00E223F9"/>
    <w:rsid w:val="00E36FD3"/>
    <w:rsid w:val="00E42343"/>
    <w:rsid w:val="00E80C97"/>
    <w:rsid w:val="00E90D13"/>
    <w:rsid w:val="00E91AC9"/>
    <w:rsid w:val="00EB1559"/>
    <w:rsid w:val="00EC6FD1"/>
    <w:rsid w:val="00F00C2B"/>
    <w:rsid w:val="00F01C57"/>
    <w:rsid w:val="00F032BC"/>
    <w:rsid w:val="00F165E3"/>
    <w:rsid w:val="00F64DF7"/>
    <w:rsid w:val="00F72583"/>
    <w:rsid w:val="00F8191E"/>
    <w:rsid w:val="00FA46B1"/>
    <w:rsid w:val="00FA7D7C"/>
    <w:rsid w:val="00FE1FEE"/>
    <w:rsid w:val="00FE2B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2F8"/>
  <w15:docId w15:val="{1A2D6393-B376-4331-B25C-749411D2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08"/>
  </w:style>
  <w:style w:type="paragraph" w:styleId="Overskrift1">
    <w:name w:val="heading 1"/>
    <w:basedOn w:val="Normal"/>
    <w:link w:val="Overskrift1Tegn"/>
    <w:uiPriority w:val="9"/>
    <w:qFormat/>
    <w:rsid w:val="00943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9430D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E0C08"/>
    <w:pPr>
      <w:ind w:left="720"/>
      <w:contextualSpacing/>
    </w:pPr>
  </w:style>
  <w:style w:type="paragraph" w:customStyle="1" w:styleId="Default">
    <w:name w:val="Default"/>
    <w:rsid w:val="00AE0C08"/>
    <w:pPr>
      <w:autoSpaceDE w:val="0"/>
      <w:autoSpaceDN w:val="0"/>
      <w:adjustRightInd w:val="0"/>
      <w:spacing w:after="0" w:line="240" w:lineRule="auto"/>
    </w:pPr>
    <w:rPr>
      <w:rFonts w:ascii="Calibri" w:hAnsi="Calibri" w:cs="Calibri"/>
      <w:color w:val="000000"/>
      <w:sz w:val="24"/>
      <w:szCs w:val="24"/>
    </w:rPr>
  </w:style>
  <w:style w:type="paragraph" w:styleId="Almindeligtekst">
    <w:name w:val="Plain Text"/>
    <w:basedOn w:val="Normal"/>
    <w:link w:val="AlmindeligtekstTegn"/>
    <w:uiPriority w:val="99"/>
    <w:semiHidden/>
    <w:unhideWhenUsed/>
    <w:rsid w:val="007401DE"/>
    <w:pPr>
      <w:spacing w:after="0" w:line="240" w:lineRule="auto"/>
    </w:pPr>
    <w:rPr>
      <w:rFonts w:ascii="Consolas"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7401DE"/>
    <w:rPr>
      <w:rFonts w:ascii="Consolas" w:hAnsi="Consolas" w:cs="Consolas"/>
      <w:sz w:val="21"/>
      <w:szCs w:val="21"/>
      <w:lang w:eastAsia="da-DK"/>
    </w:rPr>
  </w:style>
  <w:style w:type="character" w:styleId="Hyperlink">
    <w:name w:val="Hyperlink"/>
    <w:basedOn w:val="Standardskrifttypeiafsnit"/>
    <w:uiPriority w:val="99"/>
    <w:semiHidden/>
    <w:unhideWhenUsed/>
    <w:rsid w:val="001E798B"/>
    <w:rPr>
      <w:color w:val="0000FF"/>
      <w:u w:val="single"/>
    </w:rPr>
  </w:style>
  <w:style w:type="character" w:customStyle="1" w:styleId="Overskrift1Tegn">
    <w:name w:val="Overskrift 1 Tegn"/>
    <w:basedOn w:val="Standardskrifttypeiafsnit"/>
    <w:link w:val="Overskrift1"/>
    <w:uiPriority w:val="9"/>
    <w:rsid w:val="009430D3"/>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9430D3"/>
    <w:rPr>
      <w:rFonts w:ascii="Times New Roman" w:eastAsia="Times New Roman" w:hAnsi="Times New Roman" w:cs="Times New Roman"/>
      <w:b/>
      <w:bCs/>
      <w:sz w:val="24"/>
      <w:szCs w:val="24"/>
      <w:lang w:eastAsia="da-DK"/>
    </w:rPr>
  </w:style>
  <w:style w:type="character" w:customStyle="1" w:styleId="release-type">
    <w:name w:val="release-type"/>
    <w:basedOn w:val="Standardskrifttypeiafsnit"/>
    <w:rsid w:val="009430D3"/>
  </w:style>
  <w:style w:type="character" w:customStyle="1" w:styleId="material-date">
    <w:name w:val="material-date"/>
    <w:basedOn w:val="Standardskrifttypeiafsnit"/>
    <w:rsid w:val="009430D3"/>
  </w:style>
  <w:style w:type="character" w:customStyle="1" w:styleId="material-time">
    <w:name w:val="material-time"/>
    <w:basedOn w:val="Standardskrifttypeiafsnit"/>
    <w:rsid w:val="009430D3"/>
  </w:style>
  <w:style w:type="character" w:customStyle="1" w:styleId="material-timezone">
    <w:name w:val="material-timezone"/>
    <w:basedOn w:val="Standardskrifttypeiafsnit"/>
    <w:rsid w:val="009430D3"/>
  </w:style>
  <w:style w:type="paragraph" w:styleId="NormalWeb">
    <w:name w:val="Normal (Web)"/>
    <w:basedOn w:val="Normal"/>
    <w:uiPriority w:val="99"/>
    <w:unhideWhenUsed/>
    <w:rsid w:val="009430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D69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6912"/>
    <w:rPr>
      <w:rFonts w:ascii="Segoe UI" w:hAnsi="Segoe UI" w:cs="Segoe UI"/>
      <w:sz w:val="18"/>
      <w:szCs w:val="18"/>
    </w:rPr>
  </w:style>
  <w:style w:type="character" w:styleId="Kommentarhenvisning">
    <w:name w:val="annotation reference"/>
    <w:basedOn w:val="Standardskrifttypeiafsnit"/>
    <w:uiPriority w:val="99"/>
    <w:semiHidden/>
    <w:unhideWhenUsed/>
    <w:rsid w:val="003E5AA6"/>
    <w:rPr>
      <w:sz w:val="16"/>
      <w:szCs w:val="16"/>
    </w:rPr>
  </w:style>
  <w:style w:type="paragraph" w:styleId="Kommentartekst">
    <w:name w:val="annotation text"/>
    <w:basedOn w:val="Normal"/>
    <w:link w:val="KommentartekstTegn"/>
    <w:uiPriority w:val="99"/>
    <w:semiHidden/>
    <w:unhideWhenUsed/>
    <w:rsid w:val="003E5A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5AA6"/>
    <w:rPr>
      <w:sz w:val="20"/>
      <w:szCs w:val="20"/>
    </w:rPr>
  </w:style>
  <w:style w:type="paragraph" w:styleId="Kommentaremne">
    <w:name w:val="annotation subject"/>
    <w:basedOn w:val="Kommentartekst"/>
    <w:next w:val="Kommentartekst"/>
    <w:link w:val="KommentaremneTegn"/>
    <w:uiPriority w:val="99"/>
    <w:semiHidden/>
    <w:unhideWhenUsed/>
    <w:rsid w:val="003E5AA6"/>
    <w:rPr>
      <w:b/>
      <w:bCs/>
    </w:rPr>
  </w:style>
  <w:style w:type="character" w:customStyle="1" w:styleId="KommentaremneTegn">
    <w:name w:val="Kommentaremne Tegn"/>
    <w:basedOn w:val="KommentartekstTegn"/>
    <w:link w:val="Kommentaremne"/>
    <w:uiPriority w:val="99"/>
    <w:semiHidden/>
    <w:rsid w:val="003E5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9424">
      <w:bodyDiv w:val="1"/>
      <w:marLeft w:val="0"/>
      <w:marRight w:val="0"/>
      <w:marTop w:val="0"/>
      <w:marBottom w:val="0"/>
      <w:divBdr>
        <w:top w:val="none" w:sz="0" w:space="0" w:color="auto"/>
        <w:left w:val="none" w:sz="0" w:space="0" w:color="auto"/>
        <w:bottom w:val="none" w:sz="0" w:space="0" w:color="auto"/>
        <w:right w:val="none" w:sz="0" w:space="0" w:color="auto"/>
      </w:divBdr>
    </w:div>
    <w:div w:id="736705039">
      <w:bodyDiv w:val="1"/>
      <w:marLeft w:val="0"/>
      <w:marRight w:val="0"/>
      <w:marTop w:val="0"/>
      <w:marBottom w:val="0"/>
      <w:divBdr>
        <w:top w:val="none" w:sz="0" w:space="0" w:color="auto"/>
        <w:left w:val="none" w:sz="0" w:space="0" w:color="auto"/>
        <w:bottom w:val="none" w:sz="0" w:space="0" w:color="auto"/>
        <w:right w:val="none" w:sz="0" w:space="0" w:color="auto"/>
      </w:divBdr>
      <w:divsChild>
        <w:div w:id="995835973">
          <w:marLeft w:val="0"/>
          <w:marRight w:val="0"/>
          <w:marTop w:val="0"/>
          <w:marBottom w:val="0"/>
          <w:divBdr>
            <w:top w:val="none" w:sz="0" w:space="0" w:color="auto"/>
            <w:left w:val="none" w:sz="0" w:space="0" w:color="auto"/>
            <w:bottom w:val="none" w:sz="0" w:space="0" w:color="auto"/>
            <w:right w:val="none" w:sz="0" w:space="0" w:color="auto"/>
          </w:divBdr>
          <w:divsChild>
            <w:div w:id="393359628">
              <w:marLeft w:val="0"/>
              <w:marRight w:val="0"/>
              <w:marTop w:val="0"/>
              <w:marBottom w:val="0"/>
              <w:divBdr>
                <w:top w:val="none" w:sz="0" w:space="0" w:color="auto"/>
                <w:left w:val="none" w:sz="0" w:space="0" w:color="auto"/>
                <w:bottom w:val="none" w:sz="0" w:space="0" w:color="auto"/>
                <w:right w:val="none" w:sz="0" w:space="0" w:color="auto"/>
              </w:divBdr>
            </w:div>
          </w:divsChild>
        </w:div>
        <w:div w:id="2113551622">
          <w:marLeft w:val="0"/>
          <w:marRight w:val="0"/>
          <w:marTop w:val="0"/>
          <w:marBottom w:val="0"/>
          <w:divBdr>
            <w:top w:val="none" w:sz="0" w:space="0" w:color="auto"/>
            <w:left w:val="none" w:sz="0" w:space="0" w:color="auto"/>
            <w:bottom w:val="none" w:sz="0" w:space="0" w:color="auto"/>
            <w:right w:val="none" w:sz="0" w:space="0" w:color="auto"/>
          </w:divBdr>
          <w:divsChild>
            <w:div w:id="248661507">
              <w:marLeft w:val="0"/>
              <w:marRight w:val="0"/>
              <w:marTop w:val="0"/>
              <w:marBottom w:val="0"/>
              <w:divBdr>
                <w:top w:val="none" w:sz="0" w:space="0" w:color="auto"/>
                <w:left w:val="none" w:sz="0" w:space="0" w:color="auto"/>
                <w:bottom w:val="none" w:sz="0" w:space="0" w:color="auto"/>
                <w:right w:val="none" w:sz="0" w:space="0" w:color="auto"/>
              </w:divBdr>
              <w:divsChild>
                <w:div w:id="1044527805">
                  <w:marLeft w:val="0"/>
                  <w:marRight w:val="0"/>
                  <w:marTop w:val="0"/>
                  <w:marBottom w:val="0"/>
                  <w:divBdr>
                    <w:top w:val="none" w:sz="0" w:space="0" w:color="auto"/>
                    <w:left w:val="none" w:sz="0" w:space="0" w:color="auto"/>
                    <w:bottom w:val="none" w:sz="0" w:space="0" w:color="auto"/>
                    <w:right w:val="none" w:sz="0" w:space="0" w:color="auto"/>
                  </w:divBdr>
                  <w:divsChild>
                    <w:div w:id="5551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332</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dc:creator>
  <cp:lastModifiedBy>Christoph Lodemann</cp:lastModifiedBy>
  <cp:revision>10</cp:revision>
  <cp:lastPrinted>2019-05-13T10:59:00Z</cp:lastPrinted>
  <dcterms:created xsi:type="dcterms:W3CDTF">2020-10-01T11:53:00Z</dcterms:created>
  <dcterms:modified xsi:type="dcterms:W3CDTF">2021-09-14T12:53:00Z</dcterms:modified>
</cp:coreProperties>
</file>