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88" w:rsidRDefault="007744B6">
      <w:pPr>
        <w:pStyle w:val="Rubrik1"/>
      </w:pPr>
      <w:r>
        <w:t>Veckans m</w:t>
      </w:r>
      <w:r w:rsidR="00A52189">
        <w:t>arknadskommentar 2016-</w:t>
      </w:r>
      <w:r w:rsidR="00F5493F">
        <w:t>10-07</w:t>
      </w:r>
    </w:p>
    <w:p w:rsidR="00892088" w:rsidRDefault="007744B6">
      <w:pPr>
        <w:pStyle w:val="Solidar-Huvudrubrik"/>
      </w:pPr>
      <w:r>
        <w:t>Lugn</w:t>
      </w:r>
      <w:r w:rsidR="00271C7F">
        <w:t>t</w:t>
      </w:r>
      <w:r>
        <w:t xml:space="preserve"> </w:t>
      </w:r>
      <w:r w:rsidR="004525EC">
        <w:t>på världens aktiemarknader</w:t>
      </w:r>
      <w:r w:rsidR="008304FB">
        <w:t xml:space="preserve"> men Deutsche Bank i blåsväder</w:t>
      </w:r>
    </w:p>
    <w:p w:rsidR="00C37BEE" w:rsidRPr="00C37BEE" w:rsidRDefault="00C37BEE">
      <w:pPr>
        <w:pStyle w:val="Brdtext"/>
        <w:rPr>
          <w:i/>
        </w:rPr>
      </w:pPr>
    </w:p>
    <w:p w:rsidR="00B057EC" w:rsidRDefault="00F5493F" w:rsidP="00B057EC">
      <w:pPr>
        <w:pStyle w:val="Brdtext"/>
      </w:pPr>
      <w:r w:rsidRPr="008304FB">
        <w:rPr>
          <w:i/>
        </w:rPr>
        <w:t xml:space="preserve">Den senaste tiden har bjudit på en tämligen lugn utveckling på </w:t>
      </w:r>
      <w:r w:rsidRPr="008304FB">
        <w:rPr>
          <w:i/>
          <w:lang w:val="nl-NL"/>
        </w:rPr>
        <w:t xml:space="preserve">de breda aktiemarknaderna i världen. </w:t>
      </w:r>
      <w:r w:rsidRPr="008304FB">
        <w:rPr>
          <w:i/>
        </w:rPr>
        <w:t>Fokus har riktats mot Deutsche Bank som aviserats med dryga förlikningskrav om ca 120 miljarder kronor av amerikanska myndigheter. Förlikningskraven gäller händelser som g</w:t>
      </w:r>
      <w:r w:rsidRPr="008304FB">
        <w:rPr>
          <w:i/>
          <w:lang w:val="da-DK"/>
        </w:rPr>
        <w:t>å</w:t>
      </w:r>
      <w:r w:rsidRPr="008304FB">
        <w:rPr>
          <w:i/>
        </w:rPr>
        <w:t>r tillbaka till finanskrisen 2008. Aktien har tappat rejält på den Tysk</w:t>
      </w:r>
      <w:r w:rsidR="00B057EC">
        <w:rPr>
          <w:i/>
        </w:rPr>
        <w:t xml:space="preserve">a börsen det senaste året </w:t>
      </w:r>
      <w:r w:rsidR="00B057EC" w:rsidRPr="00350FDE">
        <w:rPr>
          <w:i/>
        </w:rPr>
        <w:t>med en viss återhämtning senaste dagarna.</w:t>
      </w:r>
      <w:bookmarkStart w:id="0" w:name="_GoBack"/>
      <w:bookmarkEnd w:id="0"/>
    </w:p>
    <w:p w:rsidR="00F5493F" w:rsidRPr="008304FB" w:rsidRDefault="00F5493F" w:rsidP="00F5493F">
      <w:pPr>
        <w:pStyle w:val="Brdtext"/>
        <w:rPr>
          <w:i/>
        </w:rPr>
      </w:pPr>
    </w:p>
    <w:p w:rsidR="00F5493F" w:rsidRPr="00F5493F" w:rsidRDefault="008304FB" w:rsidP="00F5493F">
      <w:pPr>
        <w:pStyle w:val="Brdtext"/>
        <w:rPr>
          <w:b/>
          <w:lang w:val="en-US"/>
        </w:rPr>
      </w:pPr>
      <w:proofErr w:type="spellStart"/>
      <w:r>
        <w:rPr>
          <w:b/>
          <w:lang w:val="en-US"/>
        </w:rPr>
        <w:t>Storbritannien</w:t>
      </w:r>
      <w:proofErr w:type="spellEnd"/>
      <w:r w:rsidR="00665622">
        <w:rPr>
          <w:b/>
          <w:lang w:val="en-US"/>
        </w:rPr>
        <w:t xml:space="preserve"> </w:t>
      </w:r>
      <w:proofErr w:type="spellStart"/>
      <w:r w:rsidR="00665622">
        <w:rPr>
          <w:b/>
          <w:lang w:val="en-US"/>
        </w:rPr>
        <w:t>lämnar</w:t>
      </w:r>
      <w:proofErr w:type="spellEnd"/>
      <w:r w:rsidR="00665622">
        <w:rPr>
          <w:b/>
          <w:lang w:val="en-US"/>
        </w:rPr>
        <w:t xml:space="preserve"> in sin </w:t>
      </w:r>
      <w:proofErr w:type="spellStart"/>
      <w:r w:rsidR="00665622">
        <w:rPr>
          <w:b/>
          <w:lang w:val="en-US"/>
        </w:rPr>
        <w:t>utträdesansökan</w:t>
      </w:r>
      <w:proofErr w:type="spellEnd"/>
      <w:r w:rsidR="00FE6AC5">
        <w:rPr>
          <w:b/>
          <w:lang w:val="en-US"/>
        </w:rPr>
        <w:t xml:space="preserve"> </w:t>
      </w:r>
      <w:proofErr w:type="spellStart"/>
      <w:r w:rsidR="00FE6AC5">
        <w:rPr>
          <w:b/>
          <w:lang w:val="en-US"/>
        </w:rPr>
        <w:t>från</w:t>
      </w:r>
      <w:proofErr w:type="spellEnd"/>
      <w:r w:rsidR="00FE6AC5">
        <w:rPr>
          <w:b/>
          <w:lang w:val="en-US"/>
        </w:rPr>
        <w:t xml:space="preserve"> EU</w:t>
      </w:r>
      <w:r w:rsidR="00665622">
        <w:rPr>
          <w:b/>
          <w:lang w:val="en-US"/>
        </w:rPr>
        <w:t xml:space="preserve"> </w:t>
      </w:r>
      <w:proofErr w:type="spellStart"/>
      <w:r w:rsidR="00665622">
        <w:rPr>
          <w:b/>
          <w:lang w:val="en-US"/>
        </w:rPr>
        <w:t>i</w:t>
      </w:r>
      <w:proofErr w:type="spellEnd"/>
      <w:r w:rsidR="00665622">
        <w:rPr>
          <w:b/>
          <w:lang w:val="en-US"/>
        </w:rPr>
        <w:t xml:space="preserve"> </w:t>
      </w:r>
      <w:proofErr w:type="spellStart"/>
      <w:r w:rsidR="00665622">
        <w:rPr>
          <w:b/>
          <w:lang w:val="en-US"/>
        </w:rPr>
        <w:t>slutet</w:t>
      </w:r>
      <w:proofErr w:type="spellEnd"/>
      <w:r w:rsidR="00665622">
        <w:rPr>
          <w:b/>
          <w:lang w:val="en-US"/>
        </w:rPr>
        <w:t xml:space="preserve"> </w:t>
      </w:r>
      <w:proofErr w:type="spellStart"/>
      <w:r w:rsidR="00665622">
        <w:rPr>
          <w:b/>
          <w:lang w:val="en-US"/>
        </w:rPr>
        <w:t>av</w:t>
      </w:r>
      <w:proofErr w:type="spellEnd"/>
      <w:r w:rsidR="00665622">
        <w:rPr>
          <w:b/>
          <w:lang w:val="en-US"/>
        </w:rPr>
        <w:t xml:space="preserve"> </w:t>
      </w:r>
      <w:r w:rsidR="00F5493F" w:rsidRPr="00F5493F">
        <w:rPr>
          <w:b/>
          <w:lang w:val="en-US"/>
        </w:rPr>
        <w:t>mars 2017</w:t>
      </w:r>
    </w:p>
    <w:p w:rsidR="00F5493F" w:rsidRDefault="00F5493F" w:rsidP="00F5493F">
      <w:pPr>
        <w:pStyle w:val="Brdtext"/>
      </w:pPr>
      <w:r>
        <w:rPr>
          <w:lang w:val="en-US"/>
        </w:rPr>
        <w:t xml:space="preserve">Theresa May, </w:t>
      </w:r>
      <w:proofErr w:type="spellStart"/>
      <w:r>
        <w:rPr>
          <w:lang w:val="en-US"/>
        </w:rPr>
        <w:t>Storbritanniens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premi</w:t>
      </w:r>
      <w:r>
        <w:t>ärminister</w:t>
      </w:r>
      <w:proofErr w:type="spellEnd"/>
      <w:r>
        <w:t xml:space="preserve"> aviserade i ett </w:t>
      </w:r>
      <w:proofErr w:type="gramStart"/>
      <w:r>
        <w:t>tal</w:t>
      </w:r>
      <w:proofErr w:type="gramEnd"/>
      <w:r>
        <w:t xml:space="preserve"> att de kommer </w:t>
      </w:r>
      <w:r w:rsidR="008304FB">
        <w:t xml:space="preserve">att </w:t>
      </w:r>
      <w:r>
        <w:t>lä</w:t>
      </w:r>
      <w:r>
        <w:rPr>
          <w:lang w:val="it-IT"/>
        </w:rPr>
        <w:t>mna in uttr</w:t>
      </w:r>
      <w:r>
        <w:t>ä</w:t>
      </w:r>
      <w:r>
        <w:rPr>
          <w:lang w:val="fr-FR"/>
        </w:rPr>
        <w:t>desans</w:t>
      </w:r>
      <w:r>
        <w:t>ökan fr</w:t>
      </w:r>
      <w:r>
        <w:rPr>
          <w:lang w:val="da-DK"/>
        </w:rPr>
        <w:t>å</w:t>
      </w:r>
      <w:r>
        <w:t>n EU i slutet av mars 2017. Talet uppfattades som att de vill ha en så kallad h</w:t>
      </w:r>
      <w:r>
        <w:rPr>
          <w:lang w:val="da-DK"/>
        </w:rPr>
        <w:t>å</w:t>
      </w:r>
      <w:proofErr w:type="spellStart"/>
      <w:r>
        <w:t>rd</w:t>
      </w:r>
      <w:proofErr w:type="spellEnd"/>
      <w:r>
        <w:t xml:space="preserve"> exit fr</w:t>
      </w:r>
      <w:r>
        <w:rPr>
          <w:lang w:val="da-DK"/>
        </w:rPr>
        <w:t>å</w:t>
      </w:r>
      <w:r>
        <w:t xml:space="preserve">n unionen. Pundet </w:t>
      </w:r>
      <w:proofErr w:type="spellStart"/>
      <w:r>
        <w:t>fö</w:t>
      </w:r>
      <w:proofErr w:type="spellEnd"/>
      <w:r>
        <w:rPr>
          <w:lang w:val="da-DK"/>
        </w:rPr>
        <w:t>rsvagades på</w:t>
      </w:r>
      <w:proofErr w:type="spellStart"/>
      <w:r>
        <w:t>tagligt</w:t>
      </w:r>
      <w:proofErr w:type="spellEnd"/>
      <w:r>
        <w:t xml:space="preserve"> men det sista kapitlet är inte skrivet i detta drama. Förhandlingarna </w:t>
      </w:r>
      <w:proofErr w:type="spellStart"/>
      <w:r>
        <w:t>berä</w:t>
      </w:r>
      <w:proofErr w:type="spellEnd"/>
      <w:r>
        <w:rPr>
          <w:lang w:val="es-ES_tradnl"/>
        </w:rPr>
        <w:t>knas p</w:t>
      </w:r>
      <w:r>
        <w:rPr>
          <w:lang w:val="da-DK"/>
        </w:rPr>
        <w:t>å</w:t>
      </w:r>
      <w:r>
        <w:t xml:space="preserve">gå i mer än två år innan </w:t>
      </w:r>
      <w:proofErr w:type="spellStart"/>
      <w:r>
        <w:t>utträ</w:t>
      </w:r>
      <w:proofErr w:type="spellEnd"/>
      <w:r>
        <w:rPr>
          <w:lang w:val="da-DK"/>
        </w:rPr>
        <w:t xml:space="preserve">det </w:t>
      </w:r>
      <w:r>
        <w:t>är klart.</w:t>
      </w:r>
    </w:p>
    <w:p w:rsidR="00F5493F" w:rsidRPr="00F5493F" w:rsidRDefault="00F5493F" w:rsidP="00F5493F">
      <w:pPr>
        <w:pStyle w:val="Brdtext"/>
        <w:rPr>
          <w:b/>
        </w:rPr>
      </w:pPr>
      <w:r w:rsidRPr="00F5493F">
        <w:rPr>
          <w:b/>
        </w:rPr>
        <w:t xml:space="preserve">Mycket kan hända i </w:t>
      </w:r>
      <w:r>
        <w:rPr>
          <w:b/>
        </w:rPr>
        <w:t xml:space="preserve">den </w:t>
      </w:r>
      <w:r w:rsidRPr="00F5493F">
        <w:rPr>
          <w:b/>
        </w:rPr>
        <w:t>amerikanska valspurten</w:t>
      </w:r>
    </w:p>
    <w:p w:rsidR="00F5493F" w:rsidRDefault="00F5493F" w:rsidP="00F5493F">
      <w:pPr>
        <w:pStyle w:val="Brdtext"/>
      </w:pPr>
      <w:r>
        <w:t>Presidentvalet i USA som h</w:t>
      </w:r>
      <w:r>
        <w:rPr>
          <w:lang w:val="da-DK"/>
        </w:rPr>
        <w:t>å</w:t>
      </w:r>
      <w:proofErr w:type="spellStart"/>
      <w:r>
        <w:t>lls</w:t>
      </w:r>
      <w:proofErr w:type="spellEnd"/>
      <w:r>
        <w:t xml:space="preserve"> i november har inlett sin slutfas med den första debatten mellan kandidaterna</w:t>
      </w:r>
      <w:r w:rsidR="008304FB">
        <w:t xml:space="preserve"> </w:t>
      </w:r>
      <w:proofErr w:type="spellStart"/>
      <w:r w:rsidR="008304FB">
        <w:t>Trump</w:t>
      </w:r>
      <w:proofErr w:type="spellEnd"/>
      <w:r w:rsidR="008304FB">
        <w:t xml:space="preserve"> och Clinton</w:t>
      </w:r>
      <w:r>
        <w:t>. Opinionsundersökningarna efter debatten pekar på ett ökat stöd för det demokratiska partiets kandidat, Hilary Clinton, men mycket kan hända fortfarande.</w:t>
      </w:r>
    </w:p>
    <w:p w:rsidR="00A813F5" w:rsidRPr="00A813F5" w:rsidRDefault="0015132F" w:rsidP="00F5493F">
      <w:pPr>
        <w:pStyle w:val="Brdtext"/>
        <w:rPr>
          <w:b/>
        </w:rPr>
      </w:pPr>
      <w:r>
        <w:rPr>
          <w:b/>
        </w:rPr>
        <w:t xml:space="preserve">Ekonomiska statistiken </w:t>
      </w:r>
      <w:r w:rsidR="008304FB">
        <w:rPr>
          <w:b/>
        </w:rPr>
        <w:t>i USA vände uppåt</w:t>
      </w:r>
    </w:p>
    <w:p w:rsidR="00F5493F" w:rsidRDefault="00F5493F" w:rsidP="00F5493F">
      <w:pPr>
        <w:pStyle w:val="Brdtext"/>
      </w:pPr>
      <w:r>
        <w:t xml:space="preserve">Den ekonomiska statistiken pekar på lite bättre siffror under september, framförallt i USA </w:t>
      </w:r>
      <w:proofErr w:type="spellStart"/>
      <w:r>
        <w:t>vä</w:t>
      </w:r>
      <w:proofErr w:type="spellEnd"/>
      <w:r>
        <w:rPr>
          <w:lang w:val="da-DK"/>
        </w:rPr>
        <w:t xml:space="preserve">nde den svaga augustistatistiken </w:t>
      </w:r>
      <w:r>
        <w:t>upp i september med tjänstesektorerna i fronten. Även Europa var n</w:t>
      </w:r>
      <w:r>
        <w:rPr>
          <w:lang w:val="da-DK"/>
        </w:rPr>
        <w:t>å</w:t>
      </w:r>
      <w:r>
        <w:rPr>
          <w:lang w:val="en-US"/>
        </w:rPr>
        <w:t>got b</w:t>
      </w:r>
      <w:proofErr w:type="spellStart"/>
      <w:r>
        <w:t>ättre</w:t>
      </w:r>
      <w:proofErr w:type="spellEnd"/>
      <w:r>
        <w:t xml:space="preserve"> men tjänstesektorerna var sämre. </w:t>
      </w:r>
      <w:r w:rsidR="0015132F">
        <w:t>Storbritannien</w:t>
      </w:r>
      <w:r>
        <w:t xml:space="preserve"> var p</w:t>
      </w:r>
      <w:r>
        <w:rPr>
          <w:lang w:val="da-DK"/>
        </w:rPr>
        <w:t>å</w:t>
      </w:r>
      <w:proofErr w:type="spellStart"/>
      <w:r>
        <w:t>tagligt</w:t>
      </w:r>
      <w:proofErr w:type="spellEnd"/>
      <w:r>
        <w:t xml:space="preserve"> mycket bättre vilket troligen f</w:t>
      </w:r>
      <w:r>
        <w:rPr>
          <w:lang w:val="da-DK"/>
        </w:rPr>
        <w:t>å</w:t>
      </w:r>
      <w:r>
        <w:t>r tillskrivas det svaga pundet. Kinas industrisektorer var oförändrat fr</w:t>
      </w:r>
      <w:r>
        <w:rPr>
          <w:lang w:val="da-DK"/>
        </w:rPr>
        <w:t>å</w:t>
      </w:r>
      <w:r>
        <w:t xml:space="preserve">n augusti medan </w:t>
      </w:r>
      <w:r w:rsidR="0015132F">
        <w:t xml:space="preserve">deras </w:t>
      </w:r>
      <w:r>
        <w:t>tjänstesektorer visade gladare humör.</w:t>
      </w:r>
    </w:p>
    <w:p w:rsidR="00A813F5" w:rsidRPr="00A813F5" w:rsidRDefault="008304FB" w:rsidP="00F5493F">
      <w:pPr>
        <w:pStyle w:val="Brdtext"/>
        <w:rPr>
          <w:b/>
          <w:lang w:val="fr-FR"/>
        </w:rPr>
      </w:pPr>
      <w:r>
        <w:rPr>
          <w:b/>
          <w:lang w:val="fr-FR"/>
        </w:rPr>
        <w:t>Svag m</w:t>
      </w:r>
      <w:r w:rsidR="0015132F">
        <w:rPr>
          <w:b/>
          <w:lang w:val="fr-FR"/>
        </w:rPr>
        <w:t xml:space="preserve">akrostatistik </w:t>
      </w:r>
      <w:r w:rsidR="00A813F5" w:rsidRPr="00A813F5">
        <w:rPr>
          <w:b/>
          <w:lang w:val="fr-FR"/>
        </w:rPr>
        <w:t xml:space="preserve">för </w:t>
      </w:r>
      <w:r w:rsidR="00271C7F">
        <w:rPr>
          <w:b/>
          <w:lang w:val="fr-FR"/>
        </w:rPr>
        <w:t xml:space="preserve">tredje </w:t>
      </w:r>
      <w:r w:rsidR="00A813F5" w:rsidRPr="00A813F5">
        <w:rPr>
          <w:b/>
          <w:lang w:val="fr-FR"/>
        </w:rPr>
        <w:t>kvartal</w:t>
      </w:r>
      <w:r w:rsidR="00271C7F">
        <w:rPr>
          <w:b/>
          <w:lang w:val="fr-FR"/>
        </w:rPr>
        <w:t>et</w:t>
      </w:r>
      <w:r w:rsidR="00A813F5" w:rsidRPr="00A813F5">
        <w:rPr>
          <w:b/>
          <w:lang w:val="fr-FR"/>
        </w:rPr>
        <w:t xml:space="preserve"> 2016</w:t>
      </w:r>
    </w:p>
    <w:p w:rsidR="00F5493F" w:rsidRDefault="00F5493F" w:rsidP="00F5493F">
      <w:pPr>
        <w:pStyle w:val="Brdtext"/>
      </w:pPr>
      <w:r>
        <w:rPr>
          <w:lang w:val="fr-FR"/>
        </w:rPr>
        <w:t>Rapports</w:t>
      </w:r>
      <w:proofErr w:type="spellStart"/>
      <w:r>
        <w:t>äsongen</w:t>
      </w:r>
      <w:proofErr w:type="spellEnd"/>
      <w:r>
        <w:t xml:space="preserve"> för det tredje kvartalet inleds nästa vecka med aluminium-tillverkaren Alcoa som första företag ut. Makrostatistiken under tredje kvartalet, pekar mot en relativt svag utveckling men förväntningsbilden hos analytiker-k</w:t>
      </w:r>
      <w:r>
        <w:rPr>
          <w:lang w:val="da-DK"/>
        </w:rPr>
        <w:t>å</w:t>
      </w:r>
      <w:r>
        <w:t>ren har också generellt dragits ned p</w:t>
      </w:r>
      <w:r>
        <w:rPr>
          <w:lang w:val="da-DK"/>
        </w:rPr>
        <w:t>å</w:t>
      </w:r>
      <w:proofErr w:type="spellStart"/>
      <w:r>
        <w:t>tagligt</w:t>
      </w:r>
      <w:proofErr w:type="spellEnd"/>
      <w:r>
        <w:t xml:space="preserve">, varför det kan komma positiva överraskningar. Oljepriset har stigit senaste tiden efter </w:t>
      </w:r>
      <w:proofErr w:type="spellStart"/>
      <w:r>
        <w:t>utl</w:t>
      </w:r>
      <w:proofErr w:type="spellEnd"/>
      <w:r>
        <w:rPr>
          <w:lang w:val="da-DK"/>
        </w:rPr>
        <w:t>åtanden frå</w:t>
      </w:r>
      <w:r>
        <w:t>n OPEC om minskad produktion vilket kommer att p</w:t>
      </w:r>
      <w:r>
        <w:rPr>
          <w:lang w:val="da-DK"/>
        </w:rPr>
        <w:t>å</w:t>
      </w:r>
      <w:r>
        <w:t>verka oljebolagen positivt efter en tuff period. USA har ju övertagit Saudi Arabiens roll som så kallad swing producent vilket har ökat sannolikheten för ett fortsatt lågt oljepris.</w:t>
      </w:r>
    </w:p>
    <w:p w:rsidR="00A813F5" w:rsidRPr="00A813F5" w:rsidRDefault="008304FB" w:rsidP="00F5493F">
      <w:pPr>
        <w:pStyle w:val="Brdtext"/>
        <w:rPr>
          <w:b/>
        </w:rPr>
      </w:pPr>
      <w:r>
        <w:rPr>
          <w:b/>
        </w:rPr>
        <w:t>Ökad p</w:t>
      </w:r>
      <w:r w:rsidR="00A813F5" w:rsidRPr="00A813F5">
        <w:rPr>
          <w:b/>
        </w:rPr>
        <w:t>olitisk risk</w:t>
      </w:r>
    </w:p>
    <w:p w:rsidR="00F5493F" w:rsidRDefault="00F5493F" w:rsidP="00F5493F">
      <w:pPr>
        <w:pStyle w:val="Brdtext"/>
      </w:pPr>
      <w:r>
        <w:t>Den politiska risken har ökat p</w:t>
      </w:r>
      <w:r>
        <w:rPr>
          <w:lang w:val="da-DK"/>
        </w:rPr>
        <w:t>å</w:t>
      </w:r>
      <w:proofErr w:type="spellStart"/>
      <w:r>
        <w:t>tagligt</w:t>
      </w:r>
      <w:proofErr w:type="spellEnd"/>
      <w:r>
        <w:t xml:space="preserve"> med det amerikanska presidentvalet som g</w:t>
      </w:r>
      <w:r>
        <w:rPr>
          <w:lang w:val="da-DK"/>
        </w:rPr>
        <w:t>å</w:t>
      </w:r>
      <w:r>
        <w:t xml:space="preserve">r av stapeln </w:t>
      </w:r>
      <w:r w:rsidR="00A813F5">
        <w:t xml:space="preserve">den 8 </w:t>
      </w:r>
      <w:r>
        <w:t>november. I Italien h</w:t>
      </w:r>
      <w:r>
        <w:rPr>
          <w:lang w:val="da-DK"/>
        </w:rPr>
        <w:t>å</w:t>
      </w:r>
      <w:proofErr w:type="spellStart"/>
      <w:r>
        <w:t>lls</w:t>
      </w:r>
      <w:proofErr w:type="spellEnd"/>
      <w:r>
        <w:t xml:space="preserve"> en viktig folkomröstning om konstitutionen i början av december. Detta har förutsättningar att ligga som en v</w:t>
      </w:r>
      <w:r>
        <w:rPr>
          <w:lang w:val="da-DK"/>
        </w:rPr>
        <w:t>å</w:t>
      </w:r>
      <w:r>
        <w:t>t filt över marknaderna i närtid.</w:t>
      </w:r>
    </w:p>
    <w:p w:rsidR="00A813F5" w:rsidRPr="00A813F5" w:rsidRDefault="00A813F5" w:rsidP="00F5493F">
      <w:pPr>
        <w:pStyle w:val="Brdtext"/>
        <w:rPr>
          <w:b/>
        </w:rPr>
      </w:pPr>
      <w:r>
        <w:rPr>
          <w:b/>
        </w:rPr>
        <w:lastRenderedPageBreak/>
        <w:t>Solidar är fortsatt försiktigt positiva till aktiemarknaderna</w:t>
      </w:r>
    </w:p>
    <w:p w:rsidR="00F5493F" w:rsidRDefault="00F5493F" w:rsidP="00F5493F">
      <w:pPr>
        <w:pStyle w:val="Brdtext"/>
      </w:pPr>
      <w:r>
        <w:t>Solidar har beslutat att lämna fondernas allokering (tillgångsfördelning) oförändrad och är fortsatt försiktigt positiva till aktiemarknaderna med tonvikt på tillväxtmarknader, USA och Sverige.</w:t>
      </w:r>
    </w:p>
    <w:p w:rsidR="007A6615" w:rsidRPr="007A6615" w:rsidRDefault="007A6615" w:rsidP="007A6615">
      <w:pPr>
        <w:pStyle w:val="Brdtext"/>
      </w:pPr>
    </w:p>
    <w:p w:rsidR="008304FB" w:rsidRDefault="007A6615" w:rsidP="009E0615">
      <w:pPr>
        <w:pStyle w:val="Brdtext"/>
      </w:pPr>
      <w:r>
        <w:t>För ytterligare information, kontakta:</w:t>
      </w:r>
      <w:r>
        <w:rPr>
          <w:rFonts w:ascii="Arial Unicode MS" w:hAnsi="Arial Unicode MS"/>
        </w:rPr>
        <w:br/>
      </w:r>
      <w:r>
        <w:t>Per Ström, Analyschef Solidar, 070-607 19 20</w:t>
      </w:r>
    </w:p>
    <w:sectPr w:rsidR="008304FB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381" w:right="1134" w:bottom="1134" w:left="1418" w:header="397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83" w:rsidRDefault="00A52189">
      <w:r>
        <w:separator/>
      </w:r>
    </w:p>
  </w:endnote>
  <w:endnote w:type="continuationSeparator" w:id="0">
    <w:p w:rsidR="002F3383" w:rsidRDefault="00A5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88" w:rsidRDefault="00892088">
    <w:pPr>
      <w:pStyle w:val="Sidhuvudoch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88" w:rsidRDefault="0089208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83" w:rsidRDefault="00A52189">
      <w:r>
        <w:separator/>
      </w:r>
    </w:p>
  </w:footnote>
  <w:footnote w:type="continuationSeparator" w:id="0">
    <w:p w:rsidR="002F3383" w:rsidRDefault="00A5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88" w:rsidRDefault="00A52189">
    <w:pPr>
      <w:pStyle w:val="Sidhuvudfrstasida"/>
      <w:spacing w:before="140"/>
      <w:jc w:val="right"/>
      <w:rPr>
        <w:rStyle w:val="Inget"/>
      </w:rPr>
    </w:pPr>
    <w:r>
      <w:rPr>
        <w:noProof/>
      </w:rPr>
      <w:drawing>
        <wp:inline distT="0" distB="0" distL="0" distR="0">
          <wp:extent cx="1252675" cy="3031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75" cy="3031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rStyle w:val="Inget"/>
      </w:rPr>
      <w:fldChar w:fldCharType="begin"/>
    </w:r>
    <w:r>
      <w:rPr>
        <w:rStyle w:val="Inget"/>
      </w:rPr>
      <w:instrText xml:space="preserve"> PAGE </w:instrText>
    </w:r>
    <w:r>
      <w:rPr>
        <w:rStyle w:val="Inget"/>
      </w:rPr>
      <w:fldChar w:fldCharType="separate"/>
    </w:r>
    <w:r w:rsidR="00350FDE">
      <w:rPr>
        <w:rStyle w:val="Inget"/>
        <w:noProof/>
      </w:rPr>
      <w:t>2</w:t>
    </w:r>
    <w:r>
      <w:rPr>
        <w:rStyle w:val="Inget"/>
      </w:rPr>
      <w:fldChar w:fldCharType="end"/>
    </w:r>
    <w:r>
      <w:rPr>
        <w:rStyle w:val="Inget"/>
      </w:rPr>
      <w:t>(</w:t>
    </w:r>
    <w:r>
      <w:rPr>
        <w:rStyle w:val="Inget"/>
      </w:rPr>
      <w:fldChar w:fldCharType="begin"/>
    </w:r>
    <w:r>
      <w:rPr>
        <w:rStyle w:val="Inget"/>
      </w:rPr>
      <w:instrText xml:space="preserve"> NUMPAGES </w:instrText>
    </w:r>
    <w:r>
      <w:rPr>
        <w:rStyle w:val="Inget"/>
      </w:rPr>
      <w:fldChar w:fldCharType="separate"/>
    </w:r>
    <w:r w:rsidR="00350FDE">
      <w:rPr>
        <w:rStyle w:val="Inget"/>
        <w:noProof/>
      </w:rPr>
      <w:t>2</w:t>
    </w:r>
    <w:r>
      <w:rPr>
        <w:rStyle w:val="Inget"/>
      </w:rPr>
      <w:fldChar w:fldCharType="end"/>
    </w:r>
    <w:r>
      <w:rPr>
        <w:rStyle w:val="Inget"/>
      </w:rPr>
      <w:t>)</w:t>
    </w:r>
  </w:p>
  <w:p w:rsidR="00892088" w:rsidRDefault="00A52189">
    <w:pPr>
      <w:pStyle w:val="Sidhuvudfrstasida"/>
      <w:jc w:val="right"/>
      <w:rPr>
        <w:rStyle w:val="Inget"/>
      </w:rPr>
    </w:pPr>
    <w:r>
      <w:rPr>
        <w:rStyle w:val="Inget"/>
      </w:rPr>
      <w:tab/>
    </w:r>
    <w:r>
      <w:rPr>
        <w:rStyle w:val="Inge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88" w:rsidRDefault="00A52189">
    <w:pPr>
      <w:pStyle w:val="Sidhuvudfrstasida"/>
      <w:spacing w:before="140"/>
      <w:jc w:val="right"/>
      <w:rPr>
        <w:rStyle w:val="Inget"/>
      </w:rPr>
    </w:pPr>
    <w:r>
      <w:rPr>
        <w:noProof/>
      </w:rPr>
      <w:drawing>
        <wp:inline distT="0" distB="0" distL="0" distR="0">
          <wp:extent cx="1252675" cy="30310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75" cy="3031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rStyle w:val="Inget"/>
      </w:rPr>
      <w:fldChar w:fldCharType="begin"/>
    </w:r>
    <w:r>
      <w:rPr>
        <w:rStyle w:val="Inget"/>
      </w:rPr>
      <w:instrText xml:space="preserve"> PAGE </w:instrText>
    </w:r>
    <w:r>
      <w:rPr>
        <w:rStyle w:val="Inget"/>
      </w:rPr>
      <w:fldChar w:fldCharType="separate"/>
    </w:r>
    <w:r w:rsidR="00350FDE">
      <w:rPr>
        <w:rStyle w:val="Inget"/>
        <w:noProof/>
      </w:rPr>
      <w:t>1</w:t>
    </w:r>
    <w:r>
      <w:rPr>
        <w:rStyle w:val="Inget"/>
      </w:rPr>
      <w:fldChar w:fldCharType="end"/>
    </w:r>
    <w:r>
      <w:rPr>
        <w:rStyle w:val="Inget"/>
      </w:rPr>
      <w:t>(</w:t>
    </w:r>
    <w:r>
      <w:rPr>
        <w:rStyle w:val="Inget"/>
      </w:rPr>
      <w:fldChar w:fldCharType="begin"/>
    </w:r>
    <w:r>
      <w:rPr>
        <w:rStyle w:val="Inget"/>
      </w:rPr>
      <w:instrText xml:space="preserve"> NUMPAGES </w:instrText>
    </w:r>
    <w:r>
      <w:rPr>
        <w:rStyle w:val="Inget"/>
      </w:rPr>
      <w:fldChar w:fldCharType="separate"/>
    </w:r>
    <w:r w:rsidR="00350FDE">
      <w:rPr>
        <w:rStyle w:val="Inget"/>
        <w:noProof/>
      </w:rPr>
      <w:t>2</w:t>
    </w:r>
    <w:r>
      <w:rPr>
        <w:rStyle w:val="Inget"/>
      </w:rPr>
      <w:fldChar w:fldCharType="end"/>
    </w:r>
    <w:r>
      <w:rPr>
        <w:rStyle w:val="Inget"/>
      </w:rPr>
      <w:t>)</w:t>
    </w:r>
  </w:p>
  <w:p w:rsidR="00892088" w:rsidRDefault="00A52189">
    <w:pPr>
      <w:pStyle w:val="Sidhuvudfrstasida"/>
      <w:jc w:val="right"/>
      <w:rPr>
        <w:rStyle w:val="Inget"/>
      </w:rPr>
    </w:pPr>
    <w:r>
      <w:rPr>
        <w:rStyle w:val="Inget"/>
      </w:rPr>
      <w:tab/>
    </w:r>
    <w:r>
      <w:rPr>
        <w:rStyle w:val="Inge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8"/>
    <w:rsid w:val="000021BC"/>
    <w:rsid w:val="00011841"/>
    <w:rsid w:val="000402B0"/>
    <w:rsid w:val="0004062F"/>
    <w:rsid w:val="0007226B"/>
    <w:rsid w:val="000D276E"/>
    <w:rsid w:val="00145AE6"/>
    <w:rsid w:val="0015132F"/>
    <w:rsid w:val="00171A1B"/>
    <w:rsid w:val="00187A8C"/>
    <w:rsid w:val="00197A26"/>
    <w:rsid w:val="001B422A"/>
    <w:rsid w:val="001C4305"/>
    <w:rsid w:val="001D3AE0"/>
    <w:rsid w:val="001E3F52"/>
    <w:rsid w:val="001F02CF"/>
    <w:rsid w:val="00271C7F"/>
    <w:rsid w:val="002B419C"/>
    <w:rsid w:val="002F2169"/>
    <w:rsid w:val="002F3383"/>
    <w:rsid w:val="003136A5"/>
    <w:rsid w:val="00323816"/>
    <w:rsid w:val="00350FDE"/>
    <w:rsid w:val="003A6502"/>
    <w:rsid w:val="003B2981"/>
    <w:rsid w:val="003D1780"/>
    <w:rsid w:val="004525EC"/>
    <w:rsid w:val="004B1291"/>
    <w:rsid w:val="004F74A3"/>
    <w:rsid w:val="00526DAE"/>
    <w:rsid w:val="00530BB8"/>
    <w:rsid w:val="00555C4D"/>
    <w:rsid w:val="00567D6C"/>
    <w:rsid w:val="005775DC"/>
    <w:rsid w:val="00580E9D"/>
    <w:rsid w:val="005C2F16"/>
    <w:rsid w:val="005D7006"/>
    <w:rsid w:val="00612D97"/>
    <w:rsid w:val="00636C8D"/>
    <w:rsid w:val="00645C7F"/>
    <w:rsid w:val="00665622"/>
    <w:rsid w:val="006A66EF"/>
    <w:rsid w:val="006C043B"/>
    <w:rsid w:val="006E2052"/>
    <w:rsid w:val="006F3F8B"/>
    <w:rsid w:val="00737C48"/>
    <w:rsid w:val="007707CF"/>
    <w:rsid w:val="007744B6"/>
    <w:rsid w:val="007A6615"/>
    <w:rsid w:val="007B09CE"/>
    <w:rsid w:val="007F50BF"/>
    <w:rsid w:val="00815739"/>
    <w:rsid w:val="008304FB"/>
    <w:rsid w:val="008571DC"/>
    <w:rsid w:val="00887AC6"/>
    <w:rsid w:val="00891391"/>
    <w:rsid w:val="00892088"/>
    <w:rsid w:val="00896313"/>
    <w:rsid w:val="008A2A15"/>
    <w:rsid w:val="008A5793"/>
    <w:rsid w:val="008C5BA0"/>
    <w:rsid w:val="008C5C06"/>
    <w:rsid w:val="008E12EA"/>
    <w:rsid w:val="0093610D"/>
    <w:rsid w:val="0097600C"/>
    <w:rsid w:val="009E0615"/>
    <w:rsid w:val="009E1BD8"/>
    <w:rsid w:val="00A35477"/>
    <w:rsid w:val="00A429F3"/>
    <w:rsid w:val="00A52189"/>
    <w:rsid w:val="00A813F5"/>
    <w:rsid w:val="00A83AA5"/>
    <w:rsid w:val="00B057EC"/>
    <w:rsid w:val="00B56F02"/>
    <w:rsid w:val="00B93C3D"/>
    <w:rsid w:val="00BC0B89"/>
    <w:rsid w:val="00BC2814"/>
    <w:rsid w:val="00BD4952"/>
    <w:rsid w:val="00BF0883"/>
    <w:rsid w:val="00C22C6D"/>
    <w:rsid w:val="00C24067"/>
    <w:rsid w:val="00C365C8"/>
    <w:rsid w:val="00C37BEE"/>
    <w:rsid w:val="00CC5D7D"/>
    <w:rsid w:val="00CD1AA9"/>
    <w:rsid w:val="00D47F0E"/>
    <w:rsid w:val="00D57632"/>
    <w:rsid w:val="00D8298A"/>
    <w:rsid w:val="00ED1054"/>
    <w:rsid w:val="00F27DF6"/>
    <w:rsid w:val="00F50532"/>
    <w:rsid w:val="00F5493F"/>
    <w:rsid w:val="00F70646"/>
    <w:rsid w:val="00FA6461"/>
    <w:rsid w:val="00FB5FB8"/>
    <w:rsid w:val="00FD0EC7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016C9-25A2-41F3-9300-DE07A38C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Rubrik1">
    <w:name w:val="heading 1"/>
    <w:next w:val="Brdtext"/>
    <w:pPr>
      <w:keepNext/>
      <w:spacing w:before="280"/>
      <w:outlineLvl w:val="0"/>
    </w:pPr>
    <w:rPr>
      <w:rFonts w:ascii="Arial" w:hAnsi="Arial" w:cs="Arial Unicode MS"/>
      <w:b/>
      <w:bCs/>
      <w:color w:val="4BAA32"/>
      <w:sz w:val="22"/>
      <w:szCs w:val="22"/>
      <w:u w:color="4BAA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frstasida">
    <w:name w:val="Sidhuvud förstasida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Inget">
    <w:name w:val="Inget"/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  <w:jc w:val="center"/>
    </w:pPr>
    <w:rPr>
      <w:rFonts w:ascii="Arial" w:eastAsia="Arial" w:hAnsi="Arial" w:cs="Arial"/>
      <w:color w:val="000000"/>
      <w:sz w:val="12"/>
      <w:szCs w:val="12"/>
      <w:u w:color="000000"/>
    </w:rPr>
  </w:style>
  <w:style w:type="paragraph" w:styleId="Brdtext">
    <w:name w:val="Body Text"/>
    <w:pPr>
      <w:spacing w:after="160" w:line="259" w:lineRule="auto"/>
    </w:pPr>
    <w:rPr>
      <w:rFonts w:ascii="Georgia" w:hAnsi="Georgia" w:cs="Arial Unicode MS"/>
      <w:color w:val="000000"/>
      <w:sz w:val="22"/>
      <w:szCs w:val="22"/>
      <w:u w:color="000000"/>
    </w:rPr>
  </w:style>
  <w:style w:type="paragraph" w:customStyle="1" w:styleId="Solidar-Huvudrubrik">
    <w:name w:val="Solidar - Huvudrubrik"/>
    <w:pPr>
      <w:spacing w:before="480" w:after="60" w:line="280" w:lineRule="atLeast"/>
    </w:pPr>
    <w:rPr>
      <w:rFonts w:ascii="Arial" w:hAnsi="Arial" w:cs="Arial Unicode MS"/>
      <w:b/>
      <w:bCs/>
      <w:color w:val="4BAA32"/>
      <w:sz w:val="40"/>
      <w:szCs w:val="40"/>
      <w:u w:color="4BAA32"/>
    </w:rPr>
  </w:style>
  <w:style w:type="character" w:styleId="Betoning">
    <w:name w:val="Emphasis"/>
    <w:basedOn w:val="Standardstycketeckensnitt"/>
    <w:uiPriority w:val="20"/>
    <w:qFormat/>
    <w:rsid w:val="009E1BD8"/>
    <w:rPr>
      <w:i/>
      <w:iCs/>
    </w:rPr>
  </w:style>
  <w:style w:type="character" w:customStyle="1" w:styleId="apple-converted-space">
    <w:name w:val="apple-converted-space"/>
    <w:basedOn w:val="Standardstycketeckensnitt"/>
    <w:rsid w:val="009E1BD8"/>
  </w:style>
  <w:style w:type="paragraph" w:styleId="Ingetavstnd">
    <w:name w:val="No Spacing"/>
    <w:uiPriority w:val="1"/>
    <w:qFormat/>
    <w:rsid w:val="007A6615"/>
    <w:rPr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CD1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BAA32"/>
      </a:accent1>
      <a:accent2>
        <a:srgbClr val="FFD100"/>
      </a:accent2>
      <a:accent3>
        <a:srgbClr val="F58220"/>
      </a:accent3>
      <a:accent4>
        <a:srgbClr val="9ACAEB"/>
      </a:accent4>
      <a:accent5>
        <a:srgbClr val="86786F"/>
      </a:accent5>
      <a:accent6>
        <a:srgbClr val="BBB2AD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Lindén</dc:creator>
  <cp:lastModifiedBy>Marie Lindén</cp:lastModifiedBy>
  <cp:revision>7</cp:revision>
  <dcterms:created xsi:type="dcterms:W3CDTF">2016-10-06T13:01:00Z</dcterms:created>
  <dcterms:modified xsi:type="dcterms:W3CDTF">2016-10-06T14:31:00Z</dcterms:modified>
</cp:coreProperties>
</file>