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2674"/>
        </w:tabs>
        <w:spacing w:after="200" w:line="240" w:lineRule="auto"/>
        <w:rPr>
          <w:rFonts w:ascii="FS Rufus" w:cs="FS Rufus" w:eastAsia="FS Rufus" w:hAnsi="FS Rufus"/>
          <w:b w:val="1"/>
          <w:color w:val="7197ca"/>
          <w:sz w:val="40"/>
          <w:szCs w:val="40"/>
        </w:rPr>
      </w:pPr>
      <w:r w:rsidDel="00000000" w:rsidR="00000000" w:rsidRPr="00000000">
        <w:rPr>
          <w:rFonts w:ascii="FS Rufus" w:cs="FS Rufus" w:eastAsia="FS Rufus" w:hAnsi="FS Rufus"/>
          <w:b w:val="1"/>
          <w:color w:val="7197ca"/>
          <w:sz w:val="40"/>
          <w:szCs w:val="40"/>
          <w:rtl w:val="0"/>
        </w:rPr>
        <w:t xml:space="preserve">Exklusiv für Pharma Labore: ELGA Labwater bietet ab sofort Reinstwasser Pharma compliant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6696075</wp:posOffset>
                </wp:positionH>
                <wp:positionV relativeFrom="paragraph">
                  <wp:posOffset>133350</wp:posOffset>
                </wp:positionV>
                <wp:extent cx="254000" cy="10692130"/>
                <wp:effectExtent b="0" l="0" r="0" t="0"/>
                <wp:wrapNone/>
                <wp:docPr id="2" name=""/>
                <a:graphic>
                  <a:graphicData uri="http://schemas.microsoft.com/office/word/2010/wordprocessingShape">
                    <wps:wsp>
                      <wps:cNvCnPr/>
                      <wps:spPr>
                        <a:xfrm>
                          <a:off x="5346000" y="0"/>
                          <a:ext cx="0" cy="7560000"/>
                        </a:xfrm>
                        <a:prstGeom prst="straightConnector1">
                          <a:avLst/>
                        </a:prstGeom>
                        <a:noFill/>
                        <a:ln cap="flat" cmpd="sng" w="254000">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6696075</wp:posOffset>
                </wp:positionH>
                <wp:positionV relativeFrom="paragraph">
                  <wp:posOffset>133350</wp:posOffset>
                </wp:positionV>
                <wp:extent cx="254000" cy="10692130"/>
                <wp:effectExtent b="0" l="0" r="0" t="0"/>
                <wp:wrapNone/>
                <wp:docPr id="2"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254000" cy="10692130"/>
                        </a:xfrm>
                        <a:prstGeom prst="rect"/>
                        <a:ln/>
                      </pic:spPr>
                    </pic:pic>
                  </a:graphicData>
                </a:graphic>
              </wp:anchor>
            </w:drawing>
          </mc:Fallback>
        </mc:AlternateContent>
      </w:r>
    </w:p>
    <w:p w:rsidR="00000000" w:rsidDel="00000000" w:rsidP="00000000" w:rsidRDefault="00000000" w:rsidRPr="00000000" w14:paraId="00000002">
      <w:pPr>
        <w:spacing w:line="240" w:lineRule="auto"/>
        <w:jc w:val="both"/>
        <w:rPr>
          <w:color w:val="333333"/>
          <w:sz w:val="20"/>
          <w:szCs w:val="20"/>
        </w:rPr>
      </w:pPr>
      <w:r w:rsidDel="00000000" w:rsidR="00000000" w:rsidRPr="00000000">
        <w:rPr>
          <w:rtl w:val="0"/>
        </w:rPr>
      </w:r>
    </w:p>
    <w:tbl>
      <w:tblPr>
        <w:tblStyle w:val="Table1"/>
        <w:tblW w:w="9979.0" w:type="dxa"/>
        <w:jc w:val="left"/>
        <w:tblLayout w:type="fixed"/>
        <w:tblLook w:val="0000"/>
      </w:tblPr>
      <w:tblGrid>
        <w:gridCol w:w="3119"/>
        <w:gridCol w:w="312"/>
        <w:gridCol w:w="3118"/>
        <w:gridCol w:w="312"/>
        <w:gridCol w:w="3118"/>
        <w:tblGridChange w:id="0">
          <w:tblGrid>
            <w:gridCol w:w="3119"/>
            <w:gridCol w:w="312"/>
            <w:gridCol w:w="3118"/>
            <w:gridCol w:w="312"/>
            <w:gridCol w:w="3118"/>
          </w:tblGrid>
        </w:tblGridChange>
      </w:tblGrid>
      <w:tr>
        <w:trPr>
          <w:cantSplit w:val="0"/>
          <w:trHeight w:val="248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3">
            <w:pPr>
              <w:spacing w:line="240" w:lineRule="auto"/>
              <w:jc w:val="center"/>
              <w:rPr>
                <w:color w:val="333333"/>
                <w:sz w:val="20"/>
                <w:szCs w:val="20"/>
              </w:rPr>
            </w:pPr>
            <w:r w:rsidDel="00000000" w:rsidR="00000000" w:rsidRPr="00000000">
              <w:rPr>
                <w:color w:val="333333"/>
                <w:sz w:val="20"/>
                <w:szCs w:val="20"/>
              </w:rPr>
              <w:drawing>
                <wp:inline distB="0" distT="0" distL="114300" distR="114300">
                  <wp:extent cx="1666875" cy="1514350"/>
                  <wp:effectExtent b="0" l="0" r="0" t="0"/>
                  <wp:docPr id="3" name="image2.jpg"/>
                  <a:graphic>
                    <a:graphicData uri="http://schemas.openxmlformats.org/drawingml/2006/picture">
                      <pic:pic>
                        <pic:nvPicPr>
                          <pic:cNvPr id="0" name="image2.jpg"/>
                          <pic:cNvPicPr preferRelativeResize="0"/>
                        </pic:nvPicPr>
                        <pic:blipFill>
                          <a:blip r:embed="rId7"/>
                          <a:srcRect b="0" l="13318" r="13318" t="0"/>
                          <a:stretch>
                            <a:fillRect/>
                          </a:stretch>
                        </pic:blipFill>
                        <pic:spPr>
                          <a:xfrm>
                            <a:off x="0" y="0"/>
                            <a:ext cx="1666875" cy="15143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4">
            <w:pPr>
              <w:spacing w:line="240" w:lineRule="auto"/>
              <w:jc w:val="both"/>
              <w:rPr>
                <w:color w:val="333333"/>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5">
            <w:pPr>
              <w:spacing w:line="240" w:lineRule="auto"/>
              <w:jc w:val="center"/>
              <w:rPr>
                <w:color w:val="333333"/>
                <w:sz w:val="20"/>
                <w:szCs w:val="20"/>
              </w:rPr>
            </w:pPr>
            <w:r w:rsidDel="00000000" w:rsidR="00000000" w:rsidRPr="00000000">
              <w:rPr>
                <w:color w:val="333333"/>
                <w:sz w:val="20"/>
                <w:szCs w:val="20"/>
              </w:rPr>
              <w:drawing>
                <wp:inline distB="0" distT="0" distL="114300" distR="114300">
                  <wp:extent cx="1996440" cy="1584960"/>
                  <wp:effectExtent b="0" l="0" r="0" t="0"/>
                  <wp:docPr id="4" name="image1.png"/>
                  <a:graphic>
                    <a:graphicData uri="http://schemas.openxmlformats.org/drawingml/2006/picture">
                      <pic:pic>
                        <pic:nvPicPr>
                          <pic:cNvPr id="0" name="image1.png"/>
                          <pic:cNvPicPr preferRelativeResize="0"/>
                        </pic:nvPicPr>
                        <pic:blipFill>
                          <a:blip r:embed="rId8"/>
                          <a:srcRect b="0" l="8023" r="8023" t="0"/>
                          <a:stretch>
                            <a:fillRect/>
                          </a:stretch>
                        </pic:blipFill>
                        <pic:spPr>
                          <a:xfrm>
                            <a:off x="0" y="0"/>
                            <a:ext cx="1996440" cy="158496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6">
            <w:pPr>
              <w:spacing w:line="240" w:lineRule="auto"/>
              <w:jc w:val="both"/>
              <w:rPr>
                <w:color w:val="333333"/>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7">
            <w:pPr>
              <w:spacing w:line="240" w:lineRule="auto"/>
              <w:jc w:val="center"/>
              <w:rPr>
                <w:color w:val="333333"/>
                <w:sz w:val="20"/>
                <w:szCs w:val="20"/>
              </w:rPr>
            </w:pPr>
            <w:r w:rsidDel="00000000" w:rsidR="00000000" w:rsidRPr="00000000">
              <w:rPr>
                <w:color w:val="333333"/>
                <w:sz w:val="20"/>
                <w:szCs w:val="20"/>
              </w:rPr>
              <w:drawing>
                <wp:inline distB="0" distT="0" distL="114300" distR="114300">
                  <wp:extent cx="1996440" cy="1584960"/>
                  <wp:effectExtent b="0" l="0" r="0" t="0"/>
                  <wp:docPr id="5" name="image3.jpg"/>
                  <a:graphic>
                    <a:graphicData uri="http://schemas.openxmlformats.org/drawingml/2006/picture">
                      <pic:pic>
                        <pic:nvPicPr>
                          <pic:cNvPr id="0" name="image3.jpg"/>
                          <pic:cNvPicPr preferRelativeResize="0"/>
                        </pic:nvPicPr>
                        <pic:blipFill>
                          <a:blip r:embed="rId9"/>
                          <a:srcRect b="0" l="8023" r="8023" t="0"/>
                          <a:stretch>
                            <a:fillRect/>
                          </a:stretch>
                        </pic:blipFill>
                        <pic:spPr>
                          <a:xfrm>
                            <a:off x="0" y="0"/>
                            <a:ext cx="1996440" cy="15849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8">
      <w:pPr>
        <w:spacing w:line="240" w:lineRule="auto"/>
        <w:jc w:val="both"/>
        <w:rPr>
          <w:b w:val="1"/>
          <w:color w:val="404040"/>
        </w:rPr>
      </w:pPr>
      <w:r w:rsidDel="00000000" w:rsidR="00000000" w:rsidRPr="00000000">
        <w:rPr>
          <w:rtl w:val="0"/>
        </w:rPr>
      </w:r>
    </w:p>
    <w:p w:rsidR="00000000" w:rsidDel="00000000" w:rsidP="00000000" w:rsidRDefault="00000000" w:rsidRPr="00000000" w14:paraId="00000009">
      <w:pPr>
        <w:spacing w:line="240" w:lineRule="auto"/>
        <w:jc w:val="both"/>
        <w:rPr>
          <w:b w:val="1"/>
          <w:color w:val="404040"/>
        </w:rPr>
      </w:pPr>
      <w:r w:rsidDel="00000000" w:rsidR="00000000" w:rsidRPr="00000000">
        <w:rPr>
          <w:rtl w:val="0"/>
        </w:rPr>
      </w:r>
    </w:p>
    <w:p w:rsidR="00000000" w:rsidDel="00000000" w:rsidP="00000000" w:rsidRDefault="00000000" w:rsidRPr="00000000" w14:paraId="0000000A">
      <w:pPr>
        <w:spacing w:line="240" w:lineRule="auto"/>
        <w:jc w:val="both"/>
        <w:rPr>
          <w:b w:val="1"/>
          <w:color w:val="404040"/>
        </w:rPr>
      </w:pPr>
      <w:r w:rsidDel="00000000" w:rsidR="00000000" w:rsidRPr="00000000">
        <w:rPr>
          <w:b w:val="1"/>
          <w:color w:val="404040"/>
          <w:rtl w:val="0"/>
        </w:rPr>
        <w:t xml:space="preserve">Mit PURELAB Pharma Compliance bietet ELGA Labwater ab sofort eine neue Lösung zur Produktion von Reinstwasser. Ob Wissenschaft und Forschung oder zur Qualitätskontrolle in der Produktion, das neue System erfüllt alle Anforderungen für Validierung und Qualifizierung in Pharma Laboren. PURELAB Pharma Compliance setzt auf der bewährten modularen Baureihe Chorus auf und ergänzt diese damit ideal.</w:t>
      </w:r>
    </w:p>
    <w:p w:rsidR="00000000" w:rsidDel="00000000" w:rsidP="00000000" w:rsidRDefault="00000000" w:rsidRPr="00000000" w14:paraId="0000000B">
      <w:pPr>
        <w:spacing w:line="240" w:lineRule="auto"/>
        <w:jc w:val="both"/>
        <w:rPr>
          <w:color w:val="404040"/>
        </w:rPr>
      </w:pPr>
      <w:r w:rsidDel="00000000" w:rsidR="00000000" w:rsidRPr="00000000">
        <w:rPr>
          <w:rtl w:val="0"/>
        </w:rPr>
      </w:r>
    </w:p>
    <w:p w:rsidR="00000000" w:rsidDel="00000000" w:rsidP="00000000" w:rsidRDefault="00000000" w:rsidRPr="00000000" w14:paraId="0000000C">
      <w:pPr>
        <w:spacing w:line="240" w:lineRule="auto"/>
        <w:jc w:val="both"/>
        <w:rPr>
          <w:color w:val="404040"/>
        </w:rPr>
      </w:pPr>
      <w:r w:rsidDel="00000000" w:rsidR="00000000" w:rsidRPr="00000000">
        <w:rPr>
          <w:color w:val="404040"/>
          <w:rtl w:val="0"/>
        </w:rPr>
        <w:t xml:space="preserve">PURELAB Pharma Compliance</w:t>
      </w:r>
      <w:r w:rsidDel="00000000" w:rsidR="00000000" w:rsidRPr="00000000">
        <w:rPr>
          <w:color w:val="404040"/>
          <w:rtl w:val="0"/>
        </w:rPr>
        <w:t xml:space="preserve"> ist eine Lösung zur Produktion von Reinstwasser aus vorbehandeltem Wasser, die Forschung, Analytik  und Rückverfolgbarkeit perfekt vereint. Das moderne Design der PURELAB Serie bietet eine intuitiv bedienbare, ergonomische und zugleich effiziente Reinstwasseraufbereitung und ab sofort mit Pharma Compliance auch richtlinienkonform für alle Pharma Labore.</w:t>
      </w:r>
    </w:p>
    <w:p w:rsidR="00000000" w:rsidDel="00000000" w:rsidP="00000000" w:rsidRDefault="00000000" w:rsidRPr="00000000" w14:paraId="0000000D">
      <w:pPr>
        <w:spacing w:line="240" w:lineRule="auto"/>
        <w:jc w:val="both"/>
        <w:rPr>
          <w:color w:val="404040"/>
        </w:rPr>
      </w:pPr>
      <w:r w:rsidDel="00000000" w:rsidR="00000000" w:rsidRPr="00000000">
        <w:rPr>
          <w:rtl w:val="0"/>
        </w:rPr>
      </w:r>
    </w:p>
    <w:p w:rsidR="00000000" w:rsidDel="00000000" w:rsidP="00000000" w:rsidRDefault="00000000" w:rsidRPr="00000000" w14:paraId="0000000E">
      <w:pPr>
        <w:spacing w:line="240" w:lineRule="auto"/>
        <w:jc w:val="both"/>
        <w:rPr>
          <w:color w:val="404040"/>
        </w:rPr>
      </w:pPr>
      <w:r w:rsidDel="00000000" w:rsidR="00000000" w:rsidRPr="00000000">
        <w:rPr>
          <w:color w:val="404040"/>
          <w:rtl w:val="0"/>
        </w:rPr>
        <w:t xml:space="preserve">Die neue PURELAB Pharma Compliance bietet zahlreiche innovative Ergänzungen zur bewährten Chorus-Baureihe, die exakt auf die Bedürfnisse von QC-Laboren in der Pharmabranche abgestimmt sind. Das Komplettsystem umfasst alles, was für eine Validierung nach GMP (Good Manufacturing Practice = Gute Herstellungspraxis) erforderlich ist: zuverlässige Aufbereitung von Reinstwasser, spezielle Software-Funktionen für höchste Sicherheit und Einhaltung der Vorgaben zu Qualifizierungs-Dokumentationen. </w:t>
      </w:r>
    </w:p>
    <w:p w:rsidR="00000000" w:rsidDel="00000000" w:rsidP="00000000" w:rsidRDefault="00000000" w:rsidRPr="00000000" w14:paraId="0000000F">
      <w:pPr>
        <w:spacing w:line="240" w:lineRule="auto"/>
        <w:jc w:val="both"/>
        <w:rPr>
          <w:color w:val="404040"/>
        </w:rPr>
      </w:pPr>
      <w:r w:rsidDel="00000000" w:rsidR="00000000" w:rsidRPr="00000000">
        <w:rPr>
          <w:rtl w:val="0"/>
        </w:rPr>
      </w:r>
    </w:p>
    <w:p w:rsidR="00000000" w:rsidDel="00000000" w:rsidP="00000000" w:rsidRDefault="00000000" w:rsidRPr="00000000" w14:paraId="00000010">
      <w:pPr>
        <w:spacing w:line="240" w:lineRule="auto"/>
        <w:jc w:val="both"/>
        <w:rPr>
          <w:color w:val="404040"/>
        </w:rPr>
      </w:pPr>
      <w:r w:rsidDel="00000000" w:rsidR="00000000" w:rsidRPr="00000000">
        <w:rPr>
          <w:color w:val="404040"/>
          <w:rtl w:val="0"/>
        </w:rPr>
        <w:t xml:space="preserve">Die zum System gehörige sichere Software gewährleistet die FDA Anforderungen CFR 21 Teil 11 für die digitale Aktenführung. Die Verfahren zur Reinstwasseraufbereitung erfüllen außerdem die USP-Standards 643 (TOC-Monitor) und 645 (Leitfähigkeitsüberwachung). Die bereitgestellten Qualifizierungsdokumente unterstützen alle Labore, die einer Validierung gemäß GxP unterliegen.</w:t>
      </w:r>
    </w:p>
    <w:p w:rsidR="00000000" w:rsidDel="00000000" w:rsidP="00000000" w:rsidRDefault="00000000" w:rsidRPr="00000000" w14:paraId="00000011">
      <w:pPr>
        <w:spacing w:line="240" w:lineRule="auto"/>
        <w:jc w:val="both"/>
        <w:rPr>
          <w:color w:val="404040"/>
        </w:rPr>
      </w:pPr>
      <w:r w:rsidDel="00000000" w:rsidR="00000000" w:rsidRPr="00000000">
        <w:rPr>
          <w:rtl w:val="0"/>
        </w:rPr>
      </w:r>
    </w:p>
    <w:p w:rsidR="00000000" w:rsidDel="00000000" w:rsidP="00000000" w:rsidRDefault="00000000" w:rsidRPr="00000000" w14:paraId="00000012">
      <w:pPr>
        <w:spacing w:line="240" w:lineRule="auto"/>
        <w:jc w:val="both"/>
        <w:rPr>
          <w:color w:val="404040"/>
        </w:rPr>
      </w:pPr>
      <w:r w:rsidDel="00000000" w:rsidR="00000000" w:rsidRPr="00000000">
        <w:rPr>
          <w:color w:val="404040"/>
          <w:rtl w:val="0"/>
        </w:rPr>
        <w:t xml:space="preserve">Ergänzend zum Reinstwassersystem PURELAB Pharma Compliance, bietet ELGA Labwater außerdem optional freistehende Dispenser für mehr Freiheit ohne qualitative Verluste beim Einsatz von Reinstwasser im Pharma Labor.</w:t>
      </w:r>
    </w:p>
    <w:p w:rsidR="00000000" w:rsidDel="00000000" w:rsidP="00000000" w:rsidRDefault="00000000" w:rsidRPr="00000000" w14:paraId="00000013">
      <w:pPr>
        <w:spacing w:line="240" w:lineRule="auto"/>
        <w:jc w:val="both"/>
        <w:rPr>
          <w:color w:val="404040"/>
        </w:rPr>
      </w:pPr>
      <w:r w:rsidDel="00000000" w:rsidR="00000000" w:rsidRPr="00000000">
        <w:rPr>
          <w:rtl w:val="0"/>
        </w:rPr>
      </w:r>
    </w:p>
    <w:p w:rsidR="00000000" w:rsidDel="00000000" w:rsidP="00000000" w:rsidRDefault="00000000" w:rsidRPr="00000000" w14:paraId="00000014">
      <w:pPr>
        <w:spacing w:line="240" w:lineRule="auto"/>
        <w:jc w:val="both"/>
        <w:rPr>
          <w:color w:val="404040"/>
        </w:rPr>
      </w:pPr>
      <w:r w:rsidDel="00000000" w:rsidR="00000000" w:rsidRPr="00000000">
        <w:rPr>
          <w:color w:val="404040"/>
          <w:rtl w:val="0"/>
        </w:rPr>
        <w:t xml:space="preserve">Mehr Informationen unter </w:t>
      </w:r>
      <w:hyperlink r:id="rId10">
        <w:r w:rsidDel="00000000" w:rsidR="00000000" w:rsidRPr="00000000">
          <w:rPr>
            <w:color w:val="1155cc"/>
            <w:u w:val="single"/>
            <w:rtl w:val="0"/>
          </w:rPr>
          <w:t xml:space="preserve">http://elgalabwater.de/</w:t>
        </w:r>
      </w:hyperlink>
      <w:r w:rsidDel="00000000" w:rsidR="00000000" w:rsidRPr="00000000">
        <w:rPr>
          <w:rtl w:val="0"/>
        </w:rPr>
      </w:r>
    </w:p>
    <w:p w:rsidR="00000000" w:rsidDel="00000000" w:rsidP="00000000" w:rsidRDefault="00000000" w:rsidRPr="00000000" w14:paraId="00000015">
      <w:pPr>
        <w:spacing w:line="240" w:lineRule="auto"/>
        <w:jc w:val="both"/>
        <w:rPr>
          <w:color w:val="404040"/>
        </w:rPr>
      </w:pPr>
      <w:r w:rsidDel="00000000" w:rsidR="00000000" w:rsidRPr="00000000">
        <w:rPr>
          <w:rtl w:val="0"/>
        </w:rPr>
      </w:r>
    </w:p>
    <w:p w:rsidR="00000000" w:rsidDel="00000000" w:rsidP="00000000" w:rsidRDefault="00000000" w:rsidRPr="00000000" w14:paraId="00000016">
      <w:pPr>
        <w:spacing w:line="240" w:lineRule="auto"/>
        <w:jc w:val="both"/>
        <w:rPr>
          <w:b w:val="1"/>
          <w:color w:val="7197ca"/>
          <w:sz w:val="24"/>
          <w:szCs w:val="24"/>
        </w:rPr>
      </w:pPr>
      <w:r w:rsidDel="00000000" w:rsidR="00000000" w:rsidRPr="00000000">
        <w:rPr>
          <w:rtl w:val="0"/>
        </w:rPr>
      </w:r>
    </w:p>
    <w:p w:rsidR="00000000" w:rsidDel="00000000" w:rsidP="00000000" w:rsidRDefault="00000000" w:rsidRPr="00000000" w14:paraId="00000017">
      <w:pPr>
        <w:spacing w:line="240" w:lineRule="auto"/>
        <w:jc w:val="both"/>
        <w:rPr>
          <w:b w:val="1"/>
          <w:color w:val="7197ca"/>
          <w:sz w:val="24"/>
          <w:szCs w:val="24"/>
        </w:rPr>
      </w:pPr>
      <w:r w:rsidDel="00000000" w:rsidR="00000000" w:rsidRPr="00000000">
        <w:rPr>
          <w:b w:val="1"/>
          <w:color w:val="7197ca"/>
          <w:sz w:val="24"/>
          <w:szCs w:val="24"/>
          <w:rtl w:val="0"/>
        </w:rPr>
        <w:t xml:space="preserve">Fotos und Rechte</w:t>
      </w:r>
    </w:p>
    <w:p w:rsidR="00000000" w:rsidDel="00000000" w:rsidP="00000000" w:rsidRDefault="00000000" w:rsidRPr="00000000" w14:paraId="00000018">
      <w:pPr>
        <w:spacing w:line="240" w:lineRule="auto"/>
        <w:jc w:val="both"/>
        <w:rPr>
          <w:color w:val="404040"/>
          <w:sz w:val="24"/>
          <w:szCs w:val="24"/>
        </w:rPr>
      </w:pPr>
      <w:r w:rsidDel="00000000" w:rsidR="00000000" w:rsidRPr="00000000">
        <w:rPr>
          <w:color w:val="404040"/>
          <w:sz w:val="24"/>
          <w:szCs w:val="24"/>
          <w:rtl w:val="0"/>
        </w:rPr>
        <w:t xml:space="preserve">Bild 1: PURELAB Pharma Compliance mit separatem Dispenser; Quelle: Veolia Water Technologies</w:t>
      </w:r>
    </w:p>
    <w:p w:rsidR="00000000" w:rsidDel="00000000" w:rsidP="00000000" w:rsidRDefault="00000000" w:rsidRPr="00000000" w14:paraId="00000019">
      <w:pPr>
        <w:spacing w:line="240" w:lineRule="auto"/>
        <w:jc w:val="both"/>
        <w:rPr>
          <w:color w:val="404040"/>
          <w:sz w:val="24"/>
          <w:szCs w:val="24"/>
        </w:rPr>
      </w:pPr>
      <w:r w:rsidDel="00000000" w:rsidR="00000000" w:rsidRPr="00000000">
        <w:rPr>
          <w:color w:val="404040"/>
          <w:sz w:val="24"/>
          <w:szCs w:val="24"/>
          <w:rtl w:val="0"/>
        </w:rPr>
        <w:t xml:space="preserve">Bild 2: PURELAB Pharma Compliance bietet intuitive Bedienung und sichere Reinstwasserproduktion für Pharma Labore; Quelle: Veolia Water Technologies</w:t>
      </w:r>
    </w:p>
    <w:p w:rsidR="00000000" w:rsidDel="00000000" w:rsidP="00000000" w:rsidRDefault="00000000" w:rsidRPr="00000000" w14:paraId="0000001A">
      <w:pPr>
        <w:spacing w:line="240" w:lineRule="auto"/>
        <w:jc w:val="both"/>
        <w:rPr>
          <w:color w:val="404040"/>
          <w:sz w:val="24"/>
          <w:szCs w:val="24"/>
        </w:rPr>
      </w:pPr>
      <w:r w:rsidDel="00000000" w:rsidR="00000000" w:rsidRPr="00000000">
        <w:rPr>
          <w:color w:val="404040"/>
          <w:sz w:val="24"/>
          <w:szCs w:val="24"/>
          <w:rtl w:val="0"/>
        </w:rPr>
        <w:t xml:space="preserve">Bild 3: Sichere Software, zuverlässige Dokumentation und transparente Rückverfolgbarkeit für Forschung und Produktion - das ist die neue PURELAB Pharma Compliance; Quelle: Veolia Water Technologies</w:t>
      </w:r>
    </w:p>
    <w:p w:rsidR="00000000" w:rsidDel="00000000" w:rsidP="00000000" w:rsidRDefault="00000000" w:rsidRPr="00000000" w14:paraId="0000001B">
      <w:pPr>
        <w:spacing w:line="240" w:lineRule="auto"/>
        <w:jc w:val="both"/>
        <w:rPr>
          <w:b w:val="1"/>
          <w:color w:val="7197ca"/>
          <w:sz w:val="24"/>
          <w:szCs w:val="24"/>
        </w:rPr>
      </w:pPr>
      <w:r w:rsidDel="00000000" w:rsidR="00000000" w:rsidRPr="00000000">
        <w:rPr>
          <w:rtl w:val="0"/>
        </w:rPr>
      </w:r>
    </w:p>
    <w:p w:rsidR="00000000" w:rsidDel="00000000" w:rsidP="00000000" w:rsidRDefault="00000000" w:rsidRPr="00000000" w14:paraId="0000001C">
      <w:pPr>
        <w:spacing w:line="240" w:lineRule="auto"/>
        <w:jc w:val="both"/>
        <w:rPr>
          <w:b w:val="1"/>
          <w:color w:val="7197ca"/>
          <w:sz w:val="24"/>
          <w:szCs w:val="24"/>
        </w:rPr>
      </w:pPr>
      <w:r w:rsidDel="00000000" w:rsidR="00000000" w:rsidRPr="00000000">
        <w:rPr>
          <w:rtl w:val="0"/>
        </w:rPr>
      </w:r>
    </w:p>
    <w:p w:rsidR="00000000" w:rsidDel="00000000" w:rsidP="00000000" w:rsidRDefault="00000000" w:rsidRPr="00000000" w14:paraId="0000001D">
      <w:pPr>
        <w:spacing w:line="240" w:lineRule="auto"/>
        <w:jc w:val="both"/>
        <w:rPr>
          <w:b w:val="1"/>
          <w:color w:val="7197ca"/>
          <w:sz w:val="24"/>
          <w:szCs w:val="24"/>
        </w:rPr>
      </w:pPr>
      <w:r w:rsidDel="00000000" w:rsidR="00000000" w:rsidRPr="00000000">
        <w:rPr>
          <w:b w:val="1"/>
          <w:color w:val="7197ca"/>
          <w:sz w:val="24"/>
          <w:szCs w:val="24"/>
          <w:rtl w:val="0"/>
        </w:rPr>
        <w:t xml:space="preserve">Unternehmensprofil</w:t>
      </w:r>
    </w:p>
    <w:p w:rsidR="00000000" w:rsidDel="00000000" w:rsidP="00000000" w:rsidRDefault="00000000" w:rsidRPr="00000000" w14:paraId="0000001E">
      <w:pPr>
        <w:spacing w:line="276" w:lineRule="auto"/>
        <w:jc w:val="both"/>
        <w:rPr>
          <w:sz w:val="20"/>
          <w:szCs w:val="20"/>
        </w:rPr>
      </w:pPr>
      <w:r w:rsidDel="00000000" w:rsidR="00000000" w:rsidRPr="00000000">
        <w:rPr>
          <w:rtl w:val="0"/>
        </w:rPr>
      </w:r>
    </w:p>
    <w:p w:rsidR="00000000" w:rsidDel="00000000" w:rsidP="00000000" w:rsidRDefault="00000000" w:rsidRPr="00000000" w14:paraId="0000001F">
      <w:pPr>
        <w:spacing w:line="240" w:lineRule="auto"/>
        <w:jc w:val="both"/>
        <w:rPr>
          <w:b w:val="1"/>
          <w:sz w:val="20"/>
          <w:szCs w:val="20"/>
        </w:rPr>
      </w:pPr>
      <w:r w:rsidDel="00000000" w:rsidR="00000000" w:rsidRPr="00000000">
        <w:rPr>
          <w:b w:val="1"/>
          <w:sz w:val="20"/>
          <w:szCs w:val="20"/>
          <w:rtl w:val="0"/>
        </w:rPr>
        <w:t xml:space="preserve">Veolia Water Technologies in Deutschland</w:t>
      </w:r>
    </w:p>
    <w:p w:rsidR="00000000" w:rsidDel="00000000" w:rsidP="00000000" w:rsidRDefault="00000000" w:rsidRPr="00000000" w14:paraId="00000020">
      <w:pPr>
        <w:jc w:val="both"/>
        <w:rPr>
          <w:sz w:val="20"/>
          <w:szCs w:val="20"/>
        </w:rPr>
      </w:pPr>
      <w:r w:rsidDel="00000000" w:rsidR="00000000" w:rsidRPr="00000000">
        <w:rPr>
          <w:sz w:val="20"/>
          <w:szCs w:val="20"/>
          <w:rtl w:val="0"/>
        </w:rPr>
        <w:t xml:space="preserve">Mit den Technologiemarken BERKEFELD, ELGA LABWATER, PMT, HYDROTECH und EVALED gehört das Unternehmen zu den international führenden Anbietern von Lösungen und Anlagen zur Trink-, Prozess- und Abwasseraufbereitung. Das Produktangebot umfasst Lösungen für ein breites Spektrum an Anwendungen, von der Gebäude- und Schwimmbadtechnik über Industrieunternehmen wie Getränke-, Nahrungsmittel- und Chemieproduzenten bis hin zu Laboratorien, Kommunen und  internationalen Hilfsorganisationen.</w:t>
      </w:r>
    </w:p>
    <w:p w:rsidR="00000000" w:rsidDel="00000000" w:rsidP="00000000" w:rsidRDefault="00000000" w:rsidRPr="00000000" w14:paraId="00000021">
      <w:pPr>
        <w:ind w:left="720" w:firstLine="0"/>
        <w:jc w:val="both"/>
        <w:rPr>
          <w:sz w:val="20"/>
          <w:szCs w:val="20"/>
        </w:rPr>
      </w:pPr>
      <w:r w:rsidDel="00000000" w:rsidR="00000000" w:rsidRPr="00000000">
        <w:rPr>
          <w:rtl w:val="0"/>
        </w:rPr>
      </w:r>
    </w:p>
    <w:p w:rsidR="00000000" w:rsidDel="00000000" w:rsidP="00000000" w:rsidRDefault="00000000" w:rsidRPr="00000000" w14:paraId="00000022">
      <w:pPr>
        <w:jc w:val="both"/>
        <w:rPr>
          <w:b w:val="1"/>
          <w:color w:val="262626"/>
          <w:sz w:val="20"/>
          <w:szCs w:val="20"/>
        </w:rPr>
      </w:pPr>
      <w:r w:rsidDel="00000000" w:rsidR="00000000" w:rsidRPr="00000000">
        <w:rPr>
          <w:sz w:val="20"/>
          <w:szCs w:val="20"/>
          <w:rtl w:val="0"/>
        </w:rPr>
        <w:t xml:space="preserve">Am Hauptsitz in Celle und an den Standorten in Bayreuth und Leonberg werden rund 320 Mitarbeitende beschäftigt. Ein bundesweites Netzwerk von über 50 Servicetechnikern und 30 Vertriebsingenieuren bietet Beratungskompetenz  und schnelle Unterstützung. </w:t>
      </w:r>
      <w:hyperlink r:id="rId11">
        <w:r w:rsidDel="00000000" w:rsidR="00000000" w:rsidRPr="00000000">
          <w:rPr>
            <w:color w:val="1155cc"/>
            <w:sz w:val="20"/>
            <w:szCs w:val="20"/>
            <w:u w:val="single"/>
            <w:rtl w:val="0"/>
          </w:rPr>
          <w:t xml:space="preserve">www.veoliawatertechnologies.de</w:t>
        </w:r>
      </w:hyperlink>
      <w:r w:rsidDel="00000000" w:rsidR="00000000" w:rsidRPr="00000000">
        <w:rPr>
          <w:rtl w:val="0"/>
        </w:rPr>
      </w:r>
    </w:p>
    <w:p w:rsidR="00000000" w:rsidDel="00000000" w:rsidP="00000000" w:rsidRDefault="00000000" w:rsidRPr="00000000" w14:paraId="00000023">
      <w:pPr>
        <w:ind w:left="720" w:firstLine="0"/>
        <w:jc w:val="both"/>
        <w:rPr>
          <w:b w:val="1"/>
          <w:color w:val="262626"/>
          <w:sz w:val="20"/>
          <w:szCs w:val="20"/>
        </w:rPr>
      </w:pPr>
      <w:r w:rsidDel="00000000" w:rsidR="00000000" w:rsidRPr="00000000">
        <w:rPr>
          <w:b w:val="1"/>
          <w:color w:val="262626"/>
          <w:sz w:val="20"/>
          <w:szCs w:val="20"/>
          <w:rtl w:val="0"/>
        </w:rPr>
        <w:t xml:space="preserve"> </w:t>
      </w:r>
    </w:p>
    <w:p w:rsidR="00000000" w:rsidDel="00000000" w:rsidP="00000000" w:rsidRDefault="00000000" w:rsidRPr="00000000" w14:paraId="00000024">
      <w:pPr>
        <w:jc w:val="both"/>
        <w:rPr>
          <w:sz w:val="20"/>
          <w:szCs w:val="20"/>
          <w:highlight w:val="white"/>
        </w:rPr>
      </w:pPr>
      <w:r w:rsidDel="00000000" w:rsidR="00000000" w:rsidRPr="00000000">
        <w:rPr>
          <w:sz w:val="20"/>
          <w:szCs w:val="20"/>
          <w:highlight w:val="white"/>
          <w:rtl w:val="0"/>
        </w:rPr>
        <w:t xml:space="preserve">Die </w:t>
      </w:r>
      <w:r w:rsidDel="00000000" w:rsidR="00000000" w:rsidRPr="00000000">
        <w:rPr>
          <w:b w:val="1"/>
          <w:sz w:val="20"/>
          <w:szCs w:val="20"/>
          <w:highlight w:val="white"/>
          <w:rtl w:val="0"/>
        </w:rPr>
        <w:t xml:space="preserve">Veolia Gruppe</w:t>
      </w:r>
      <w:r w:rsidDel="00000000" w:rsidR="00000000" w:rsidRPr="00000000">
        <w:rPr>
          <w:sz w:val="20"/>
          <w:szCs w:val="20"/>
          <w:highlight w:val="white"/>
          <w:rtl w:val="0"/>
        </w:rPr>
        <w:t xml:space="preserve"> ist der weltweite Maßstab für optimiertes Ressourcenmanagement. Mit über 220 000 Beschäftigten auf allen fünf Kontinenten plant und implementiert die Veolia-Gruppe Lösungen für die Bereiche Wasser-, Abfall- und Energiemanagement im Sinne einer nachhaltigen Entwicklung der Kommunen und der Wirtschaft. Mit ihren drei sich ergänzenden Tätigkeitsfeldern sorgt sie für einen verbesserten Zugang zu Ressourcen, ihren Schutz und ihre Erneuerung. 2022 stellte die Veolia-Gruppe weltweit die Trinkwasserversorgung von 111 Millionen Menschen und die Abwasserentsorgung für 97 Millionen Menschen sicher, erzeugte fast 44 TWh Energie und verwertete 61 Millionen Tonnen Abfälle. Der konsolidierte Jahresumsatz von Veolia Environnement (Paris Euronext: VIE) betrug 2022 42.885 Millionen Euro. </w:t>
      </w:r>
      <w:hyperlink r:id="rId12">
        <w:r w:rsidDel="00000000" w:rsidR="00000000" w:rsidRPr="00000000">
          <w:rPr>
            <w:color w:val="1155cc"/>
            <w:sz w:val="20"/>
            <w:szCs w:val="20"/>
            <w:highlight w:val="white"/>
            <w:u w:val="single"/>
            <w:rtl w:val="0"/>
          </w:rPr>
          <w:t xml:space="preserve">www.veolia.com</w:t>
        </w:r>
      </w:hyperlink>
      <w:r w:rsidDel="00000000" w:rsidR="00000000" w:rsidRPr="00000000">
        <w:rPr>
          <w:sz w:val="20"/>
          <w:szCs w:val="20"/>
          <w:highlight w:val="white"/>
          <w:rtl w:val="0"/>
        </w:rPr>
        <w:t xml:space="preserve"> </w:t>
      </w:r>
      <w:r w:rsidDel="00000000" w:rsidR="00000000" w:rsidRPr="00000000">
        <w:rPr>
          <w:rtl w:val="0"/>
        </w:rPr>
      </w:r>
    </w:p>
    <w:p w:rsidR="00000000" w:rsidDel="00000000" w:rsidP="00000000" w:rsidRDefault="00000000" w:rsidRPr="00000000" w14:paraId="00000025">
      <w:pPr>
        <w:jc w:val="both"/>
        <w:rPr>
          <w:sz w:val="20"/>
          <w:szCs w:val="20"/>
          <w:highlight w:val="white"/>
        </w:rPr>
      </w:pPr>
      <w:r w:rsidDel="00000000" w:rsidR="00000000" w:rsidRPr="00000000">
        <w:rPr>
          <w:rtl w:val="0"/>
        </w:rPr>
      </w:r>
    </w:p>
    <w:p w:rsidR="00000000" w:rsidDel="00000000" w:rsidP="00000000" w:rsidRDefault="00000000" w:rsidRPr="00000000" w14:paraId="00000026">
      <w:pPr>
        <w:jc w:val="both"/>
        <w:rPr>
          <w:rFonts w:ascii="FS Rufus" w:cs="FS Rufus" w:eastAsia="FS Rufus" w:hAnsi="FS Rufus"/>
          <w:b w:val="1"/>
          <w:color w:val="7197ca"/>
          <w:sz w:val="24"/>
          <w:szCs w:val="24"/>
        </w:rPr>
      </w:pPr>
      <w:r w:rsidDel="00000000" w:rsidR="00000000" w:rsidRPr="00000000">
        <w:rPr>
          <w:sz w:val="20"/>
          <w:szCs w:val="20"/>
          <w:highlight w:val="white"/>
          <w:rtl w:val="0"/>
        </w:rPr>
        <w:t xml:space="preserve">In Deutschland arbeiten bei Veolia und ihren Beteiligungsgesellschaften rund 10.500 Beschäftigte an etwa 250 Standorten. In Partnerschaften mit Kommunen sind sie für mehr als 11 Millionen Menschen tätig. Hinzu kommen maßgeschneiderte Dienstleistungen für Privat- und Gewerbekunden, Handels- und Industriebetriebe. In ihren drei Geschäftsbereichen erwirtschaftete Veolia in Deutschland 2021 einen Jahresumsatz von 2 Milliarden Euro.</w:t>
      </w:r>
      <w:r w:rsidDel="00000000" w:rsidR="00000000" w:rsidRPr="00000000">
        <w:rPr>
          <w:rtl w:val="0"/>
        </w:rPr>
      </w:r>
    </w:p>
    <w:p w:rsidR="00000000" w:rsidDel="00000000" w:rsidP="00000000" w:rsidRDefault="00000000" w:rsidRPr="00000000" w14:paraId="00000027">
      <w:pPr>
        <w:spacing w:line="276" w:lineRule="auto"/>
        <w:jc w:val="both"/>
        <w:rPr>
          <w:b w:val="1"/>
          <w:sz w:val="20"/>
          <w:szCs w:val="20"/>
        </w:rPr>
      </w:pPr>
      <w:r w:rsidDel="00000000" w:rsidR="00000000" w:rsidRPr="00000000">
        <w:rPr>
          <w:rtl w:val="0"/>
        </w:rPr>
      </w:r>
    </w:p>
    <w:p w:rsidR="00000000" w:rsidDel="00000000" w:rsidP="00000000" w:rsidRDefault="00000000" w:rsidRPr="00000000" w14:paraId="00000028">
      <w:pPr>
        <w:spacing w:line="276" w:lineRule="auto"/>
        <w:rPr>
          <w:rFonts w:ascii="FS Rufus" w:cs="FS Rufus" w:eastAsia="FS Rufus" w:hAnsi="FS Rufus"/>
          <w:b w:val="1"/>
          <w:color w:val="262626"/>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9">
      <w:pPr>
        <w:spacing w:line="276" w:lineRule="auto"/>
        <w:rPr>
          <w:rFonts w:ascii="FS Rufus" w:cs="FS Rufus" w:eastAsia="FS Rufus" w:hAnsi="FS Rufus"/>
          <w:b w:val="1"/>
          <w:color w:val="7197ca"/>
          <w:sz w:val="24"/>
          <w:szCs w:val="24"/>
        </w:rPr>
      </w:pPr>
      <w:r w:rsidDel="00000000" w:rsidR="00000000" w:rsidRPr="00000000">
        <w:rPr>
          <w:rFonts w:ascii="FS Rufus" w:cs="FS Rufus" w:eastAsia="FS Rufus" w:hAnsi="FS Rufus"/>
          <w:b w:val="1"/>
          <w:color w:val="7197ca"/>
          <w:sz w:val="24"/>
          <w:szCs w:val="24"/>
          <w:rtl w:val="0"/>
        </w:rPr>
        <w:t xml:space="preserve">Kontakt</w:t>
      </w:r>
    </w:p>
    <w:p w:rsidR="00000000" w:rsidDel="00000000" w:rsidP="00000000" w:rsidRDefault="00000000" w:rsidRPr="00000000" w14:paraId="0000002A">
      <w:pPr>
        <w:spacing w:line="240" w:lineRule="auto"/>
        <w:jc w:val="both"/>
        <w:rPr>
          <w:rFonts w:ascii="FS Rufus" w:cs="FS Rufus" w:eastAsia="FS Rufus" w:hAnsi="FS Rufus"/>
          <w:color w:val="404040"/>
          <w:sz w:val="20"/>
          <w:szCs w:val="20"/>
        </w:rPr>
      </w:pPr>
      <w:r w:rsidDel="00000000" w:rsidR="00000000" w:rsidRPr="00000000">
        <w:rPr>
          <w:rtl w:val="0"/>
        </w:rPr>
      </w:r>
    </w:p>
    <w:p w:rsidR="00000000" w:rsidDel="00000000" w:rsidP="00000000" w:rsidRDefault="00000000" w:rsidRPr="00000000" w14:paraId="0000002B">
      <w:pPr>
        <w:spacing w:line="240" w:lineRule="auto"/>
        <w:jc w:val="both"/>
        <w:rPr>
          <w:rFonts w:ascii="FS Rufus" w:cs="FS Rufus" w:eastAsia="FS Rufus" w:hAnsi="FS Rufus"/>
          <w:b w:val="1"/>
          <w:color w:val="7197ca"/>
          <w:sz w:val="20"/>
          <w:szCs w:val="20"/>
        </w:rPr>
      </w:pPr>
      <w:r w:rsidDel="00000000" w:rsidR="00000000" w:rsidRPr="00000000">
        <w:rPr>
          <w:rFonts w:ascii="FS Rufus" w:cs="FS Rufus" w:eastAsia="FS Rufus" w:hAnsi="FS Rufus"/>
          <w:color w:val="404040"/>
          <w:sz w:val="20"/>
          <w:szCs w:val="20"/>
          <w:rtl w:val="0"/>
        </w:rPr>
        <w:t xml:space="preserve">Tobias Jungke </w:t>
      </w:r>
      <w:r w:rsidDel="00000000" w:rsidR="00000000" w:rsidRPr="00000000">
        <w:rPr>
          <w:rtl w:val="0"/>
        </w:rPr>
      </w:r>
    </w:p>
    <w:p w:rsidR="00000000" w:rsidDel="00000000" w:rsidP="00000000" w:rsidRDefault="00000000" w:rsidRPr="00000000" w14:paraId="0000002C">
      <w:pPr>
        <w:spacing w:line="240" w:lineRule="auto"/>
        <w:jc w:val="both"/>
        <w:rPr>
          <w:rFonts w:ascii="FS Rufus" w:cs="FS Rufus" w:eastAsia="FS Rufus" w:hAnsi="FS Rufus"/>
          <w:color w:val="404040"/>
          <w:sz w:val="20"/>
          <w:szCs w:val="20"/>
        </w:rPr>
      </w:pPr>
      <w:r w:rsidDel="00000000" w:rsidR="00000000" w:rsidRPr="00000000">
        <w:rPr>
          <w:rFonts w:ascii="FS Rufus" w:cs="FS Rufus" w:eastAsia="FS Rufus" w:hAnsi="FS Rufus"/>
          <w:b w:val="1"/>
          <w:color w:val="404040"/>
          <w:sz w:val="20"/>
          <w:szCs w:val="20"/>
          <w:rtl w:val="0"/>
        </w:rPr>
        <w:t xml:space="preserve">PR- und Content Manager</w:t>
      </w:r>
      <w:r w:rsidDel="00000000" w:rsidR="00000000" w:rsidRPr="00000000">
        <w:rPr>
          <w:rtl w:val="0"/>
        </w:rPr>
      </w:r>
    </w:p>
    <w:p w:rsidR="00000000" w:rsidDel="00000000" w:rsidP="00000000" w:rsidRDefault="00000000" w:rsidRPr="00000000" w14:paraId="0000002D">
      <w:pPr>
        <w:spacing w:line="240" w:lineRule="auto"/>
        <w:ind w:right="970"/>
        <w:jc w:val="both"/>
        <w:rPr>
          <w:rFonts w:ascii="FS Rufus" w:cs="FS Rufus" w:eastAsia="FS Rufus" w:hAnsi="FS Rufus"/>
          <w:i w:val="1"/>
          <w:color w:val="404040"/>
          <w:sz w:val="20"/>
          <w:szCs w:val="20"/>
        </w:rPr>
      </w:pPr>
      <w:r w:rsidDel="00000000" w:rsidR="00000000" w:rsidRPr="00000000">
        <w:rPr>
          <w:rFonts w:ascii="FS Rufus" w:cs="FS Rufus" w:eastAsia="FS Rufus" w:hAnsi="FS Rufus"/>
          <w:color w:val="404040"/>
          <w:sz w:val="20"/>
          <w:szCs w:val="20"/>
          <w:rtl w:val="0"/>
        </w:rPr>
        <w:t xml:space="preserve">Veolia Water Technologies Deutschland GmbH</w:t>
      </w:r>
      <w:r w:rsidDel="00000000" w:rsidR="00000000" w:rsidRPr="00000000">
        <w:rPr>
          <w:rtl w:val="0"/>
        </w:rPr>
      </w:r>
    </w:p>
    <w:p w:rsidR="00000000" w:rsidDel="00000000" w:rsidP="00000000" w:rsidRDefault="00000000" w:rsidRPr="00000000" w14:paraId="0000002E">
      <w:pPr>
        <w:spacing w:line="240" w:lineRule="auto"/>
        <w:ind w:right="970"/>
        <w:jc w:val="both"/>
        <w:rPr>
          <w:rFonts w:ascii="FS Rufus" w:cs="FS Rufus" w:eastAsia="FS Rufus" w:hAnsi="FS Rufus"/>
          <w:i w:val="1"/>
          <w:color w:val="404040"/>
          <w:sz w:val="20"/>
          <w:szCs w:val="20"/>
        </w:rPr>
      </w:pPr>
      <w:r w:rsidDel="00000000" w:rsidR="00000000" w:rsidRPr="00000000">
        <w:rPr>
          <w:rtl w:val="0"/>
        </w:rPr>
      </w:r>
    </w:p>
    <w:p w:rsidR="00000000" w:rsidDel="00000000" w:rsidP="00000000" w:rsidRDefault="00000000" w:rsidRPr="00000000" w14:paraId="0000002F">
      <w:pPr>
        <w:spacing w:line="240" w:lineRule="auto"/>
        <w:ind w:right="970"/>
        <w:jc w:val="both"/>
        <w:rPr>
          <w:rFonts w:ascii="FS Rufus" w:cs="FS Rufus" w:eastAsia="FS Rufus" w:hAnsi="FS Rufus"/>
          <w:color w:val="404040"/>
          <w:sz w:val="20"/>
          <w:szCs w:val="20"/>
        </w:rPr>
      </w:pPr>
      <w:r w:rsidDel="00000000" w:rsidR="00000000" w:rsidRPr="00000000">
        <w:rPr>
          <w:rFonts w:ascii="FS Rufus" w:cs="FS Rufus" w:eastAsia="FS Rufus" w:hAnsi="FS Rufus"/>
          <w:color w:val="404040"/>
          <w:sz w:val="20"/>
          <w:szCs w:val="20"/>
          <w:rtl w:val="0"/>
        </w:rPr>
        <w:t xml:space="preserve">Speicherstraße 14 A, 29221 Celle</w:t>
      </w:r>
      <w:r w:rsidDel="00000000" w:rsidR="00000000" w:rsidRPr="00000000">
        <w:rPr>
          <w:rtl w:val="0"/>
        </w:rPr>
      </w:r>
    </w:p>
    <w:p w:rsidR="00000000" w:rsidDel="00000000" w:rsidP="00000000" w:rsidRDefault="00000000" w:rsidRPr="00000000" w14:paraId="00000030">
      <w:pPr>
        <w:tabs>
          <w:tab w:val="left" w:leader="none" w:pos="900"/>
        </w:tabs>
        <w:spacing w:line="240" w:lineRule="auto"/>
        <w:ind w:right="970"/>
        <w:jc w:val="both"/>
        <w:rPr>
          <w:rFonts w:ascii="FS Rufus" w:cs="FS Rufus" w:eastAsia="FS Rufus" w:hAnsi="FS Rufus"/>
          <w:color w:val="404040"/>
          <w:sz w:val="20"/>
          <w:szCs w:val="20"/>
        </w:rPr>
      </w:pPr>
      <w:r w:rsidDel="00000000" w:rsidR="00000000" w:rsidRPr="00000000">
        <w:rPr>
          <w:rFonts w:ascii="FS Rufus" w:cs="FS Rufus" w:eastAsia="FS Rufus" w:hAnsi="FS Rufus"/>
          <w:color w:val="404040"/>
          <w:sz w:val="20"/>
          <w:szCs w:val="20"/>
          <w:rtl w:val="0"/>
        </w:rPr>
        <w:t xml:space="preserve">Telefon: </w:t>
        <w:tab/>
        <w:t xml:space="preserve">+49 (0) 5141 803-562</w:t>
      </w:r>
    </w:p>
    <w:p w:rsidR="00000000" w:rsidDel="00000000" w:rsidP="00000000" w:rsidRDefault="00000000" w:rsidRPr="00000000" w14:paraId="00000031">
      <w:pPr>
        <w:tabs>
          <w:tab w:val="left" w:leader="none" w:pos="900"/>
        </w:tabs>
        <w:spacing w:line="240" w:lineRule="auto"/>
        <w:ind w:right="970"/>
        <w:jc w:val="both"/>
        <w:rPr>
          <w:rFonts w:ascii="FS Rufus" w:cs="FS Rufus" w:eastAsia="FS Rufus" w:hAnsi="FS Rufus"/>
          <w:color w:val="404040"/>
          <w:sz w:val="20"/>
          <w:szCs w:val="20"/>
        </w:rPr>
      </w:pPr>
      <w:r w:rsidDel="00000000" w:rsidR="00000000" w:rsidRPr="00000000">
        <w:rPr>
          <w:rFonts w:ascii="FS Rufus" w:cs="FS Rufus" w:eastAsia="FS Rufus" w:hAnsi="FS Rufus"/>
          <w:color w:val="404040"/>
          <w:sz w:val="20"/>
          <w:szCs w:val="20"/>
          <w:rtl w:val="0"/>
        </w:rPr>
        <w:t xml:space="preserve">Mobil: </w:t>
        <w:tab/>
        <w:t xml:space="preserve">+49 (0) 160 141 7575</w:t>
      </w:r>
    </w:p>
    <w:p w:rsidR="00000000" w:rsidDel="00000000" w:rsidP="00000000" w:rsidRDefault="00000000" w:rsidRPr="00000000" w14:paraId="00000032">
      <w:pPr>
        <w:tabs>
          <w:tab w:val="left" w:leader="none" w:pos="900"/>
        </w:tabs>
        <w:spacing w:line="240" w:lineRule="auto"/>
        <w:ind w:right="970"/>
        <w:jc w:val="both"/>
        <w:rPr>
          <w:rFonts w:ascii="FS Rufus" w:cs="FS Rufus" w:eastAsia="FS Rufus" w:hAnsi="FS Rufus"/>
          <w:color w:val="404040"/>
          <w:sz w:val="20"/>
          <w:szCs w:val="20"/>
        </w:rPr>
      </w:pPr>
      <w:hyperlink r:id="rId13">
        <w:r w:rsidDel="00000000" w:rsidR="00000000" w:rsidRPr="00000000">
          <w:rPr>
            <w:rFonts w:ascii="FS Rufus" w:cs="FS Rufus" w:eastAsia="FS Rufus" w:hAnsi="FS Rufus"/>
            <w:color w:val="1155cc"/>
            <w:sz w:val="20"/>
            <w:szCs w:val="20"/>
            <w:u w:val="single"/>
            <w:rtl w:val="0"/>
          </w:rPr>
          <w:t xml:space="preserve">tobias.jungke@veolia.com</w:t>
        </w:r>
      </w:hyperlink>
      <w:r w:rsidDel="00000000" w:rsidR="00000000" w:rsidRPr="00000000">
        <w:rPr>
          <w:rtl w:val="0"/>
        </w:rPr>
      </w:r>
    </w:p>
    <w:p w:rsidR="00000000" w:rsidDel="00000000" w:rsidP="00000000" w:rsidRDefault="00000000" w:rsidRPr="00000000" w14:paraId="00000033">
      <w:pPr>
        <w:tabs>
          <w:tab w:val="left" w:leader="none" w:pos="900"/>
        </w:tabs>
        <w:spacing w:line="240" w:lineRule="auto"/>
        <w:ind w:right="970"/>
        <w:jc w:val="both"/>
        <w:rPr>
          <w:rFonts w:ascii="FS Rufus" w:cs="FS Rufus" w:eastAsia="FS Rufus" w:hAnsi="FS Rufus"/>
          <w:color w:val="262626"/>
          <w:sz w:val="20"/>
          <w:szCs w:val="20"/>
        </w:rPr>
      </w:pPr>
      <w:hyperlink r:id="rId14">
        <w:r w:rsidDel="00000000" w:rsidR="00000000" w:rsidRPr="00000000">
          <w:rPr>
            <w:rFonts w:ascii="FS Rufus" w:cs="FS Rufus" w:eastAsia="FS Rufus" w:hAnsi="FS Rufus"/>
            <w:color w:val="1155cc"/>
            <w:sz w:val="20"/>
            <w:szCs w:val="20"/>
            <w:u w:val="single"/>
            <w:rtl w:val="0"/>
          </w:rPr>
          <w:t xml:space="preserve">www.veoliawatertechnologies.de</w:t>
        </w:r>
      </w:hyperlink>
      <w:r w:rsidDel="00000000" w:rsidR="00000000" w:rsidRPr="00000000">
        <w:rPr>
          <w:rFonts w:ascii="FS Rufus" w:cs="FS Rufus" w:eastAsia="FS Rufus" w:hAnsi="FS Rufus"/>
          <w:color w:val="404040"/>
          <w:sz w:val="20"/>
          <w:szCs w:val="20"/>
          <w:rtl w:val="0"/>
        </w:rPr>
        <w:t xml:space="preserve"> </w:t>
      </w:r>
      <w:r w:rsidDel="00000000" w:rsidR="00000000" w:rsidRPr="00000000">
        <w:rPr>
          <w:rtl w:val="0"/>
        </w:rPr>
      </w:r>
    </w:p>
    <w:p w:rsidR="00000000" w:rsidDel="00000000" w:rsidP="00000000" w:rsidRDefault="00000000" w:rsidRPr="00000000" w14:paraId="00000034">
      <w:pPr>
        <w:tabs>
          <w:tab w:val="left" w:leader="none" w:pos="900"/>
        </w:tabs>
        <w:spacing w:line="240" w:lineRule="auto"/>
        <w:ind w:right="970"/>
        <w:jc w:val="both"/>
        <w:rPr>
          <w:rFonts w:ascii="FS Rufus" w:cs="FS Rufus" w:eastAsia="FS Rufus" w:hAnsi="FS Rufus"/>
          <w:color w:val="0070c0"/>
          <w:sz w:val="24"/>
          <w:szCs w:val="24"/>
          <w:u w:val="single"/>
        </w:rPr>
      </w:pPr>
      <w:r w:rsidDel="00000000" w:rsidR="00000000" w:rsidRPr="00000000">
        <w:rPr>
          <w:rtl w:val="0"/>
        </w:rPr>
      </w:r>
    </w:p>
    <w:p w:rsidR="00000000" w:rsidDel="00000000" w:rsidP="00000000" w:rsidRDefault="00000000" w:rsidRPr="00000000" w14:paraId="00000035">
      <w:pPr>
        <w:spacing w:line="240" w:lineRule="auto"/>
        <w:jc w:val="both"/>
        <w:rPr>
          <w:color w:val="404040"/>
        </w:rPr>
      </w:pPr>
      <w:r w:rsidDel="00000000" w:rsidR="00000000" w:rsidRPr="00000000">
        <w:rPr>
          <w:rtl w:val="0"/>
        </w:rPr>
      </w:r>
    </w:p>
    <w:p w:rsidR="00000000" w:rsidDel="00000000" w:rsidP="00000000" w:rsidRDefault="00000000" w:rsidRPr="00000000" w14:paraId="00000036">
      <w:pPr>
        <w:spacing w:line="240" w:lineRule="auto"/>
        <w:jc w:val="both"/>
        <w:rPr>
          <w:color w:val="404040"/>
          <w:sz w:val="20"/>
          <w:szCs w:val="20"/>
        </w:rPr>
      </w:pPr>
      <w:r w:rsidDel="00000000" w:rsidR="00000000" w:rsidRPr="00000000">
        <w:rPr>
          <w:color w:val="404040"/>
          <w:sz w:val="20"/>
          <w:szCs w:val="20"/>
          <w:rtl w:val="0"/>
        </w:rPr>
        <w:t xml:space="preserve">Franziska Biederbick</w:t>
      </w:r>
    </w:p>
    <w:p w:rsidR="00000000" w:rsidDel="00000000" w:rsidP="00000000" w:rsidRDefault="00000000" w:rsidRPr="00000000" w14:paraId="00000037">
      <w:pPr>
        <w:spacing w:line="240" w:lineRule="auto"/>
        <w:jc w:val="both"/>
        <w:rPr>
          <w:rFonts w:ascii="FS Rufus" w:cs="FS Rufus" w:eastAsia="FS Rufus" w:hAnsi="FS Rufus"/>
          <w:color w:val="404040"/>
          <w:sz w:val="20"/>
          <w:szCs w:val="20"/>
        </w:rPr>
      </w:pPr>
      <w:r w:rsidDel="00000000" w:rsidR="00000000" w:rsidRPr="00000000">
        <w:rPr>
          <w:rFonts w:ascii="FS Rufus" w:cs="FS Rufus" w:eastAsia="FS Rufus" w:hAnsi="FS Rufus"/>
          <w:b w:val="1"/>
          <w:color w:val="404040"/>
          <w:sz w:val="20"/>
          <w:szCs w:val="20"/>
          <w:rtl w:val="0"/>
        </w:rPr>
        <w:t xml:space="preserve">PR- und Content Manager</w:t>
      </w:r>
      <w:r w:rsidDel="00000000" w:rsidR="00000000" w:rsidRPr="00000000">
        <w:rPr>
          <w:rtl w:val="0"/>
        </w:rPr>
      </w:r>
    </w:p>
    <w:p w:rsidR="00000000" w:rsidDel="00000000" w:rsidP="00000000" w:rsidRDefault="00000000" w:rsidRPr="00000000" w14:paraId="00000038">
      <w:pPr>
        <w:spacing w:line="240" w:lineRule="auto"/>
        <w:ind w:right="970"/>
        <w:jc w:val="both"/>
        <w:rPr>
          <w:rFonts w:ascii="FS Rufus" w:cs="FS Rufus" w:eastAsia="FS Rufus" w:hAnsi="FS Rufus"/>
          <w:i w:val="1"/>
          <w:color w:val="404040"/>
          <w:sz w:val="20"/>
          <w:szCs w:val="20"/>
        </w:rPr>
      </w:pPr>
      <w:r w:rsidDel="00000000" w:rsidR="00000000" w:rsidRPr="00000000">
        <w:rPr>
          <w:rFonts w:ascii="FS Rufus" w:cs="FS Rufus" w:eastAsia="FS Rufus" w:hAnsi="FS Rufus"/>
          <w:color w:val="404040"/>
          <w:sz w:val="20"/>
          <w:szCs w:val="20"/>
          <w:rtl w:val="0"/>
        </w:rPr>
        <w:t xml:space="preserve">Veolia Water Technologies Deutschland GmbH</w:t>
      </w:r>
      <w:r w:rsidDel="00000000" w:rsidR="00000000" w:rsidRPr="00000000">
        <w:rPr>
          <w:rtl w:val="0"/>
        </w:rPr>
      </w:r>
    </w:p>
    <w:p w:rsidR="00000000" w:rsidDel="00000000" w:rsidP="00000000" w:rsidRDefault="00000000" w:rsidRPr="00000000" w14:paraId="00000039">
      <w:pPr>
        <w:spacing w:line="240" w:lineRule="auto"/>
        <w:ind w:right="970"/>
        <w:jc w:val="both"/>
        <w:rPr>
          <w:rFonts w:ascii="FS Rufus" w:cs="FS Rufus" w:eastAsia="FS Rufus" w:hAnsi="FS Rufus"/>
          <w:i w:val="1"/>
          <w:color w:val="404040"/>
          <w:sz w:val="20"/>
          <w:szCs w:val="20"/>
        </w:rPr>
      </w:pPr>
      <w:r w:rsidDel="00000000" w:rsidR="00000000" w:rsidRPr="00000000">
        <w:rPr>
          <w:rtl w:val="0"/>
        </w:rPr>
      </w:r>
    </w:p>
    <w:p w:rsidR="00000000" w:rsidDel="00000000" w:rsidP="00000000" w:rsidRDefault="00000000" w:rsidRPr="00000000" w14:paraId="0000003A">
      <w:pPr>
        <w:spacing w:line="240" w:lineRule="auto"/>
        <w:ind w:right="970"/>
        <w:jc w:val="both"/>
        <w:rPr>
          <w:rFonts w:ascii="FS Rufus" w:cs="FS Rufus" w:eastAsia="FS Rufus" w:hAnsi="FS Rufus"/>
          <w:color w:val="404040"/>
          <w:sz w:val="20"/>
          <w:szCs w:val="20"/>
        </w:rPr>
      </w:pPr>
      <w:r w:rsidDel="00000000" w:rsidR="00000000" w:rsidRPr="00000000">
        <w:rPr>
          <w:rFonts w:ascii="FS Rufus" w:cs="FS Rufus" w:eastAsia="FS Rufus" w:hAnsi="FS Rufus"/>
          <w:color w:val="404040"/>
          <w:sz w:val="20"/>
          <w:szCs w:val="20"/>
          <w:rtl w:val="0"/>
        </w:rPr>
        <w:t xml:space="preserve">Speicherstraße 14 A</w:t>
      </w:r>
      <w:r w:rsidDel="00000000" w:rsidR="00000000" w:rsidRPr="00000000">
        <w:rPr>
          <w:rFonts w:ascii="FS Rufus" w:cs="FS Rufus" w:eastAsia="FS Rufus" w:hAnsi="FS Rufus"/>
          <w:color w:val="404040"/>
          <w:sz w:val="20"/>
          <w:szCs w:val="20"/>
          <w:rtl w:val="0"/>
        </w:rPr>
        <w:t xml:space="preserve">, 29221 Celle</w:t>
      </w:r>
    </w:p>
    <w:p w:rsidR="00000000" w:rsidDel="00000000" w:rsidP="00000000" w:rsidRDefault="00000000" w:rsidRPr="00000000" w14:paraId="0000003B">
      <w:pPr>
        <w:tabs>
          <w:tab w:val="left" w:leader="none" w:pos="900"/>
        </w:tabs>
        <w:spacing w:line="240" w:lineRule="auto"/>
        <w:ind w:right="970"/>
        <w:jc w:val="both"/>
        <w:rPr>
          <w:rFonts w:ascii="FS Rufus" w:cs="FS Rufus" w:eastAsia="FS Rufus" w:hAnsi="FS Rufus"/>
          <w:color w:val="404040"/>
          <w:sz w:val="20"/>
          <w:szCs w:val="20"/>
        </w:rPr>
      </w:pPr>
      <w:r w:rsidDel="00000000" w:rsidR="00000000" w:rsidRPr="00000000">
        <w:rPr>
          <w:rFonts w:ascii="FS Rufus" w:cs="FS Rufus" w:eastAsia="FS Rufus" w:hAnsi="FS Rufus"/>
          <w:color w:val="404040"/>
          <w:sz w:val="20"/>
          <w:szCs w:val="20"/>
          <w:rtl w:val="0"/>
        </w:rPr>
        <w:t xml:space="preserve">Telefon: </w:t>
        <w:tab/>
        <w:t xml:space="preserve">+49 (0) 5141 803-156</w:t>
      </w:r>
    </w:p>
    <w:p w:rsidR="00000000" w:rsidDel="00000000" w:rsidP="00000000" w:rsidRDefault="00000000" w:rsidRPr="00000000" w14:paraId="0000003C">
      <w:pPr>
        <w:tabs>
          <w:tab w:val="left" w:leader="none" w:pos="900"/>
        </w:tabs>
        <w:spacing w:line="240" w:lineRule="auto"/>
        <w:ind w:right="970"/>
        <w:jc w:val="both"/>
        <w:rPr>
          <w:rFonts w:ascii="FS Rufus" w:cs="FS Rufus" w:eastAsia="FS Rufus" w:hAnsi="FS Rufus"/>
          <w:color w:val="404040"/>
          <w:sz w:val="20"/>
          <w:szCs w:val="20"/>
        </w:rPr>
      </w:pPr>
      <w:r w:rsidDel="00000000" w:rsidR="00000000" w:rsidRPr="00000000">
        <w:rPr>
          <w:rFonts w:ascii="FS Rufus" w:cs="FS Rufus" w:eastAsia="FS Rufus" w:hAnsi="FS Rufus"/>
          <w:color w:val="404040"/>
          <w:sz w:val="20"/>
          <w:szCs w:val="20"/>
          <w:rtl w:val="0"/>
        </w:rPr>
        <w:t xml:space="preserve">Mobil: </w:t>
        <w:tab/>
        <w:t xml:space="preserve">+49 (0) 160 95 162 660</w:t>
      </w:r>
    </w:p>
    <w:p w:rsidR="00000000" w:rsidDel="00000000" w:rsidP="00000000" w:rsidRDefault="00000000" w:rsidRPr="00000000" w14:paraId="0000003D">
      <w:pPr>
        <w:tabs>
          <w:tab w:val="left" w:leader="none" w:pos="900"/>
        </w:tabs>
        <w:spacing w:line="240" w:lineRule="auto"/>
        <w:ind w:right="970"/>
        <w:jc w:val="both"/>
        <w:rPr>
          <w:rFonts w:ascii="FS Rufus" w:cs="FS Rufus" w:eastAsia="FS Rufus" w:hAnsi="FS Rufus"/>
          <w:color w:val="404040"/>
          <w:sz w:val="20"/>
          <w:szCs w:val="20"/>
        </w:rPr>
      </w:pPr>
      <w:hyperlink r:id="rId15">
        <w:r w:rsidDel="00000000" w:rsidR="00000000" w:rsidRPr="00000000">
          <w:rPr>
            <w:rFonts w:ascii="FS Rufus" w:cs="FS Rufus" w:eastAsia="FS Rufus" w:hAnsi="FS Rufus"/>
            <w:color w:val="1155cc"/>
            <w:sz w:val="20"/>
            <w:szCs w:val="20"/>
            <w:u w:val="single"/>
            <w:rtl w:val="0"/>
          </w:rPr>
          <w:t xml:space="preserve">franziska.biederbick@veolia.com</w:t>
        </w:r>
      </w:hyperlink>
      <w:r w:rsidDel="00000000" w:rsidR="00000000" w:rsidRPr="00000000">
        <w:rPr>
          <w:rFonts w:ascii="FS Rufus" w:cs="FS Rufus" w:eastAsia="FS Rufus" w:hAnsi="FS Rufus"/>
          <w:color w:val="404040"/>
          <w:sz w:val="20"/>
          <w:szCs w:val="20"/>
          <w:rtl w:val="0"/>
        </w:rPr>
        <w:t xml:space="preserve"> </w:t>
      </w:r>
    </w:p>
    <w:p w:rsidR="00000000" w:rsidDel="00000000" w:rsidP="00000000" w:rsidRDefault="00000000" w:rsidRPr="00000000" w14:paraId="0000003E">
      <w:pPr>
        <w:tabs>
          <w:tab w:val="left" w:leader="none" w:pos="900"/>
        </w:tabs>
        <w:spacing w:line="240" w:lineRule="auto"/>
        <w:ind w:right="970"/>
        <w:jc w:val="both"/>
        <w:rPr>
          <w:rFonts w:ascii="FS Rufus" w:cs="FS Rufus" w:eastAsia="FS Rufus" w:hAnsi="FS Rufus"/>
          <w:color w:val="262626"/>
          <w:sz w:val="20"/>
          <w:szCs w:val="20"/>
        </w:rPr>
      </w:pPr>
      <w:hyperlink r:id="rId16">
        <w:r w:rsidDel="00000000" w:rsidR="00000000" w:rsidRPr="00000000">
          <w:rPr>
            <w:rFonts w:ascii="FS Rufus" w:cs="FS Rufus" w:eastAsia="FS Rufus" w:hAnsi="FS Rufus"/>
            <w:color w:val="1155cc"/>
            <w:sz w:val="20"/>
            <w:szCs w:val="20"/>
            <w:u w:val="single"/>
            <w:rtl w:val="0"/>
          </w:rPr>
          <w:t xml:space="preserve">www.veoliawatertechnologies.de</w:t>
        </w:r>
      </w:hyperlink>
      <w:r w:rsidDel="00000000" w:rsidR="00000000" w:rsidRPr="00000000">
        <w:rPr>
          <w:rFonts w:ascii="FS Rufus" w:cs="FS Rufus" w:eastAsia="FS Rufus" w:hAnsi="FS Rufus"/>
          <w:color w:val="404040"/>
          <w:sz w:val="20"/>
          <w:szCs w:val="20"/>
          <w:rtl w:val="0"/>
        </w:rPr>
        <w:t xml:space="preserve"> </w:t>
      </w:r>
      <w:r w:rsidDel="00000000" w:rsidR="00000000" w:rsidRPr="00000000">
        <w:rPr>
          <w:rtl w:val="0"/>
        </w:rPr>
      </w:r>
    </w:p>
    <w:p w:rsidR="00000000" w:rsidDel="00000000" w:rsidP="00000000" w:rsidRDefault="00000000" w:rsidRPr="00000000" w14:paraId="0000003F">
      <w:pPr>
        <w:spacing w:line="240" w:lineRule="auto"/>
        <w:jc w:val="both"/>
        <w:rPr>
          <w:color w:val="404040"/>
        </w:rPr>
      </w:pPr>
      <w:r w:rsidDel="00000000" w:rsidR="00000000" w:rsidRPr="00000000">
        <w:rPr>
          <w:rtl w:val="0"/>
        </w:rPr>
      </w:r>
    </w:p>
    <w:p w:rsidR="00000000" w:rsidDel="00000000" w:rsidP="00000000" w:rsidRDefault="00000000" w:rsidRPr="00000000" w14:paraId="00000040">
      <w:pPr>
        <w:spacing w:line="240" w:lineRule="auto"/>
        <w:jc w:val="both"/>
        <w:rPr>
          <w:color w:val="404040"/>
        </w:rPr>
      </w:pPr>
      <w:r w:rsidDel="00000000" w:rsidR="00000000" w:rsidRPr="00000000">
        <w:rPr>
          <w:rtl w:val="0"/>
        </w:rPr>
      </w:r>
    </w:p>
    <w:sectPr>
      <w:headerReference r:id="rId17" w:type="default"/>
      <w:headerReference r:id="rId18" w:type="first"/>
      <w:footerReference r:id="rId19" w:type="default"/>
      <w:footerReference r:id="rId20" w:type="first"/>
      <w:pgSz w:h="16834" w:w="11909" w:orient="portrait"/>
      <w:pgMar w:bottom="1440" w:top="1440" w:left="992.1259842519685" w:right="857.0078740157493"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FS Rufu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widowControl w:val="0"/>
      <w:spacing w:line="240" w:lineRule="auto"/>
      <w:jc w:val="center"/>
      <w:rPr/>
    </w:pPr>
    <w:r w:rsidDel="00000000" w:rsidR="00000000" w:rsidRPr="00000000">
      <w:rPr>
        <w:i w:val="1"/>
        <w:color w:val="ff0000"/>
        <w:sz w:val="24"/>
        <w:szCs w:val="24"/>
        <w:rtl w:val="0"/>
      </w:rPr>
      <w:t xml:space="preserve">WATER TECHNOLOGIES</w:t>
    </w:r>
    <w:r w:rsidDel="00000000" w:rsidR="00000000" w:rsidRPr="00000000">
      <w:rPr>
        <w:rtl w:val="0"/>
      </w:rPr>
    </w:r>
  </w:p>
  <w:p w:rsidR="00000000" w:rsidDel="00000000" w:rsidP="00000000" w:rsidRDefault="00000000" w:rsidRPr="00000000" w14:paraId="0000004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spacing w:line="240" w:lineRule="auto"/>
      <w:rPr>
        <w:sz w:val="20"/>
        <w:szCs w:val="20"/>
      </w:rPr>
    </w:pPr>
    <w:r w:rsidDel="00000000" w:rsidR="00000000" w:rsidRPr="00000000">
      <w:rPr>
        <w:rtl w:val="0"/>
      </w:rPr>
    </w:r>
  </w:p>
  <w:p w:rsidR="00000000" w:rsidDel="00000000" w:rsidP="00000000" w:rsidRDefault="00000000" w:rsidRPr="00000000" w14:paraId="00000042">
    <w:pPr>
      <w:spacing w:line="320" w:lineRule="auto"/>
      <w:rPr>
        <w:sz w:val="20"/>
        <w:szCs w:val="20"/>
      </w:rPr>
    </w:pPr>
    <w:r w:rsidDel="00000000" w:rsidR="00000000" w:rsidRPr="00000000">
      <w:rPr>
        <w:rtl w:val="0"/>
      </w:rPr>
    </w:r>
  </w:p>
  <w:p w:rsidR="00000000" w:rsidDel="00000000" w:rsidP="00000000" w:rsidRDefault="00000000" w:rsidRPr="00000000" w14:paraId="00000043">
    <w:pPr>
      <w:spacing w:after="40" w:line="260" w:lineRule="auto"/>
      <w:rPr>
        <w:i w:val="1"/>
        <w:color w:val="7197ca"/>
        <w:sz w:val="24"/>
        <w:szCs w:val="24"/>
      </w:rPr>
    </w:pPr>
    <w:r w:rsidDel="00000000" w:rsidR="00000000" w:rsidRPr="00000000">
      <w:rPr>
        <w:i w:val="1"/>
        <w:color w:val="7197ca"/>
        <w:sz w:val="24"/>
        <w:szCs w:val="24"/>
        <w:rtl w:val="0"/>
      </w:rPr>
      <w:t xml:space="preserve">Veolia Water Technologies Deutschland</w:t>
    </w:r>
  </w:p>
  <w:p w:rsidR="00000000" w:rsidDel="00000000" w:rsidP="00000000" w:rsidRDefault="00000000" w:rsidRPr="00000000" w14:paraId="00000044">
    <w:pPr>
      <w:pBdr>
        <w:bottom w:color="7197ca" w:space="1" w:sz="24" w:val="single"/>
      </w:pBdr>
      <w:spacing w:line="340" w:lineRule="auto"/>
      <w:rPr>
        <w:i w:val="1"/>
        <w:color w:val="ff0000"/>
        <w:sz w:val="20"/>
        <w:szCs w:val="20"/>
      </w:rPr>
    </w:pPr>
    <w:r w:rsidDel="00000000" w:rsidR="00000000" w:rsidRPr="00000000">
      <w:rPr>
        <w:i w:val="1"/>
        <w:color w:val="ff0000"/>
        <w:sz w:val="20"/>
        <w:szCs w:val="20"/>
        <w:rtl w:val="0"/>
      </w:rPr>
      <w:t xml:space="preserve">ELGA Labwater bietet ab sofort Reinstwasser Pharma compliant</w:t>
    </w:r>
  </w:p>
  <w:p w:rsidR="00000000" w:rsidDel="00000000" w:rsidP="00000000" w:rsidRDefault="00000000" w:rsidRPr="00000000" w14:paraId="00000045">
    <w:pPr>
      <w:spacing w:line="240" w:lineRule="auto"/>
      <w:rPr>
        <w:sz w:val="20"/>
        <w:szCs w:val="20"/>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-419099</wp:posOffset>
              </wp:positionH>
              <wp:positionV relativeFrom="paragraph">
                <wp:posOffset>-457199</wp:posOffset>
              </wp:positionV>
              <wp:extent cx="7184867" cy="2142855"/>
              <wp:effectExtent b="0" l="0" r="0" t="0"/>
              <wp:wrapTopAndBottom distB="0" distT="0"/>
              <wp:docPr id="1" name=""/>
              <a:graphic>
                <a:graphicData uri="http://schemas.microsoft.com/office/word/2010/wordprocessingGroup">
                  <wpg:wgp>
                    <wpg:cNvGrpSpPr/>
                    <wpg:grpSpPr>
                      <a:xfrm>
                        <a:off x="304700" y="0"/>
                        <a:ext cx="7184867" cy="2142855"/>
                        <a:chOff x="304700" y="0"/>
                        <a:chExt cx="9212300" cy="2747475"/>
                      </a:xfrm>
                    </wpg:grpSpPr>
                    <wps:wsp>
                      <wps:cNvSpPr/>
                      <wps:cNvPr id="2" name="Shape 2"/>
                      <wps:spPr>
                        <a:xfrm flipH="1" rot="10800000">
                          <a:off x="304800" y="216663"/>
                          <a:ext cx="9212100" cy="2530800"/>
                        </a:xfrm>
                        <a:prstGeom prst="round2DiagRect">
                          <a:avLst>
                            <a:gd fmla="val 16667" name="adj1"/>
                            <a:gd fmla="val 0" name="adj2"/>
                          </a:avLst>
                        </a:prstGeom>
                        <a:solidFill>
                          <a:srgbClr val="7197C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griffet.anne\Desktop\veolia2.png" id="3" name="Shape 3"/>
                        <pic:cNvPicPr preferRelativeResize="0"/>
                      </pic:nvPicPr>
                      <pic:blipFill rotWithShape="1">
                        <a:blip r:embed="rId1">
                          <a:alphaModFix/>
                        </a:blip>
                        <a:srcRect b="0" l="0" r="0" t="0"/>
                        <a:stretch/>
                      </pic:blipFill>
                      <pic:spPr>
                        <a:xfrm>
                          <a:off x="3581271" y="0"/>
                          <a:ext cx="2658900" cy="966600"/>
                        </a:xfrm>
                        <a:prstGeom prst="rect">
                          <a:avLst/>
                        </a:prstGeom>
                        <a:noFill/>
                        <a:ln>
                          <a:noFill/>
                        </a:ln>
                      </pic:spPr>
                    </pic:pic>
                    <wps:wsp>
                      <wps:cNvSpPr txBox="1"/>
                      <wps:cNvPr id="4" name="Shape 4"/>
                      <wps:spPr>
                        <a:xfrm>
                          <a:off x="740325" y="1601175"/>
                          <a:ext cx="8474400" cy="11463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ffffff"/>
                                <w:sz w:val="60"/>
                                <w:vertAlign w:val="baseline"/>
                              </w:rPr>
                              <w:t xml:space="preserve">Presseinformation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60"/>
                                <w:vertAlign w:val="baseline"/>
                              </w:rPr>
                            </w:r>
                            <w:r w:rsidDel="00000000" w:rsidR="00000000" w:rsidRPr="00000000">
                              <w:rPr>
                                <w:rFonts w:ascii="Arial" w:cs="Arial" w:eastAsia="Arial" w:hAnsi="Arial"/>
                                <w:b w:val="0"/>
                                <w:i w:val="0"/>
                                <w:smallCaps w:val="0"/>
                                <w:strike w:val="0"/>
                                <w:color w:val="ffffff"/>
                                <w:sz w:val="34"/>
                                <w:vertAlign w:val="baseline"/>
                              </w:rPr>
                              <w:t xml:space="preserve">Veolia Water Technologies - Celle, 28.März 2023</w:t>
                            </w:r>
                          </w:p>
                        </w:txbxContent>
                      </wps:txbx>
                      <wps:bodyPr anchorCtr="0" anchor="t" bIns="91425" lIns="91425" spcFirstLastPara="1" rIns="91425" wrap="square" tIns="91425">
                        <a:noAutofit/>
                      </wps:bodyPr>
                    </wps:wsp>
                    <pic:pic>
                      <pic:nvPicPr>
                        <pic:cNvPr id="5" name="Shape 5"/>
                        <pic:cNvPicPr preferRelativeResize="0"/>
                      </pic:nvPicPr>
                      <pic:blipFill rotWithShape="1">
                        <a:blip r:embed="rId2">
                          <a:alphaModFix/>
                        </a:blip>
                        <a:srcRect b="0" l="-1784" r="-1960" t="0"/>
                        <a:stretch/>
                      </pic:blipFill>
                      <pic:spPr>
                        <a:xfrm>
                          <a:off x="3937725" y="367825"/>
                          <a:ext cx="1946000" cy="391925"/>
                        </a:xfrm>
                        <a:prstGeom prst="rect">
                          <a:avLst/>
                        </a:prstGeom>
                        <a:noFill/>
                        <a:ln>
                          <a:noFill/>
                        </a:ln>
                      </pic:spPr>
                    </pic:pic>
                  </wpg:wgp>
                </a:graphicData>
              </a:graphic>
            </wp:anchor>
          </w:drawing>
        </mc:Choice>
        <mc:Fallback>
          <w:drawing>
            <wp:anchor allowOverlap="1" behindDoc="0" distB="0" distT="0" distL="0" distR="0" hidden="0" layoutInCell="1" locked="0" relativeHeight="0" simplePos="0">
              <wp:simplePos x="0" y="0"/>
              <wp:positionH relativeFrom="column">
                <wp:posOffset>-419099</wp:posOffset>
              </wp:positionH>
              <wp:positionV relativeFrom="paragraph">
                <wp:posOffset>-457199</wp:posOffset>
              </wp:positionV>
              <wp:extent cx="7184867" cy="2142855"/>
              <wp:effectExtent b="0" l="0" r="0" t="0"/>
              <wp:wrapTopAndBottom distB="0" distT="0"/>
              <wp:docPr id="1"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7184867" cy="214285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www.veoliawatertechnologies.de" TargetMode="External"/><Relationship Id="rId10" Type="http://schemas.openxmlformats.org/officeDocument/2006/relationships/hyperlink" Target="http://elgalabwater.de/" TargetMode="External"/><Relationship Id="rId13" Type="http://schemas.openxmlformats.org/officeDocument/2006/relationships/hyperlink" Target="mailto:tobias.jungke@veolia.com" TargetMode="External"/><Relationship Id="rId12" Type="http://schemas.openxmlformats.org/officeDocument/2006/relationships/hyperlink" Target="http://www.veoli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yperlink" Target="mailto:franziska.biederbick@veolia.com" TargetMode="External"/><Relationship Id="rId14" Type="http://schemas.openxmlformats.org/officeDocument/2006/relationships/hyperlink" Target="http://www.veoliawatertechnologies.de" TargetMode="External"/><Relationship Id="rId17" Type="http://schemas.openxmlformats.org/officeDocument/2006/relationships/header" Target="header1.xml"/><Relationship Id="rId16" Type="http://schemas.openxmlformats.org/officeDocument/2006/relationships/hyperlink" Target="http://www.veoliawatertechnologies.de"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5.png"/><Relationship Id="rId18" Type="http://schemas.openxmlformats.org/officeDocument/2006/relationships/header" Target="header2.xml"/><Relationship Id="rId7" Type="http://schemas.openxmlformats.org/officeDocument/2006/relationships/image" Target="media/image2.jpg"/><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jpg"/><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