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60AB" w14:textId="7C03920D" w:rsidR="00303F8C" w:rsidRPr="007120E6" w:rsidRDefault="003822C8" w:rsidP="00FF7EE7">
      <w:pPr>
        <w:spacing w:line="240" w:lineRule="auto"/>
        <w:ind w:right="-351"/>
        <w:rPr>
          <w:rFonts w:cs="Arial"/>
          <w:b/>
          <w:color w:val="000000" w:themeColor="text1"/>
          <w:szCs w:val="24"/>
        </w:rPr>
      </w:pPr>
      <w:bookmarkStart w:id="0" w:name="OLE_LINK1"/>
      <w:bookmarkStart w:id="1" w:name="OLE_LINK2"/>
      <w:r w:rsidRPr="00A30C27">
        <w:rPr>
          <w:rFonts w:cs="Arial"/>
          <w:noProof/>
          <w:lang w:val="sv-SE"/>
        </w:rPr>
        <w:t>23 oktober</w:t>
      </w:r>
      <w:r w:rsidRPr="00A30C27">
        <w:rPr>
          <w:rFonts w:cs="Arial"/>
          <w:color w:val="000000" w:themeColor="text1"/>
          <w:szCs w:val="24"/>
          <w:lang w:val="sv-SE"/>
        </w:rPr>
        <w:t xml:space="preserve"> 2019</w:t>
      </w:r>
      <w:r w:rsidRPr="00A30C27">
        <w:rPr>
          <w:rFonts w:cs="Arial"/>
          <w:b/>
          <w:bCs/>
          <w:color w:val="000000" w:themeColor="text1"/>
          <w:szCs w:val="24"/>
          <w:lang w:val="sv-SE"/>
        </w:rPr>
        <w:t xml:space="preserve"> </w:t>
      </w:r>
    </w:p>
    <w:p w14:paraId="6C62254D" w14:textId="77777777" w:rsidR="00823E77" w:rsidRPr="007120E6" w:rsidRDefault="00823E77" w:rsidP="00FF7EE7">
      <w:pPr>
        <w:spacing w:line="240" w:lineRule="auto"/>
        <w:ind w:right="-351"/>
        <w:rPr>
          <w:rFonts w:cs="Arial"/>
          <w:b/>
          <w:color w:val="000000" w:themeColor="text1"/>
          <w:szCs w:val="24"/>
        </w:rPr>
      </w:pPr>
    </w:p>
    <w:p w14:paraId="11715445" w14:textId="79CE1ED1" w:rsidR="00D75667" w:rsidRPr="00A30C27" w:rsidRDefault="00837C43" w:rsidP="00D75667">
      <w:pPr>
        <w:pStyle w:val="ANheader"/>
        <w:spacing w:before="0" w:after="0" w:line="240" w:lineRule="exact"/>
        <w:rPr>
          <w:rFonts w:cs="Arial"/>
          <w:b/>
          <w:szCs w:val="20"/>
          <w:lang w:val="sv-SE"/>
        </w:rPr>
      </w:pPr>
      <w:proofErr w:type="spellStart"/>
      <w:r w:rsidRPr="00A30C27">
        <w:rPr>
          <w:rFonts w:cs="Arial"/>
          <w:b/>
          <w:bCs/>
          <w:szCs w:val="20"/>
          <w:lang w:val="sv-SE"/>
        </w:rPr>
        <w:t>AkzoNobels</w:t>
      </w:r>
      <w:proofErr w:type="spellEnd"/>
      <w:r w:rsidRPr="00A30C27">
        <w:rPr>
          <w:rFonts w:cs="Arial"/>
          <w:b/>
          <w:bCs/>
          <w:szCs w:val="20"/>
          <w:lang w:val="sv-SE"/>
        </w:rPr>
        <w:t xml:space="preserve"> Q3-resultat visar fortsatta framsteg, justerat rörelseresultat </w:t>
      </w:r>
      <w:r w:rsidR="009D36C5">
        <w:rPr>
          <w:rFonts w:cs="Arial"/>
          <w:b/>
          <w:bCs/>
          <w:szCs w:val="20"/>
          <w:lang w:val="sv-SE"/>
        </w:rPr>
        <w:t xml:space="preserve">ökade </w:t>
      </w:r>
      <w:r w:rsidR="009D36C5" w:rsidRPr="00A30C27">
        <w:rPr>
          <w:rFonts w:cs="Arial"/>
          <w:b/>
          <w:bCs/>
          <w:szCs w:val="20"/>
          <w:lang w:val="sv-SE"/>
        </w:rPr>
        <w:t xml:space="preserve">med </w:t>
      </w:r>
      <w:r w:rsidRPr="00A30C27">
        <w:rPr>
          <w:rFonts w:cs="Arial"/>
          <w:b/>
          <w:bCs/>
          <w:szCs w:val="20"/>
          <w:lang w:val="sv-SE"/>
        </w:rPr>
        <w:t>23 %</w:t>
      </w:r>
    </w:p>
    <w:p w14:paraId="43EFE93E" w14:textId="65D3B548" w:rsidR="00A32233" w:rsidRPr="00A30C27" w:rsidRDefault="00A32233" w:rsidP="00D75667">
      <w:pPr>
        <w:pStyle w:val="ANheader"/>
        <w:spacing w:before="0" w:after="0" w:line="240" w:lineRule="exact"/>
        <w:rPr>
          <w:rFonts w:cs="Arial"/>
          <w:b/>
          <w:szCs w:val="20"/>
          <w:lang w:val="sv-SE"/>
        </w:rPr>
      </w:pPr>
    </w:p>
    <w:p w14:paraId="6EC65DFE" w14:textId="73E31473" w:rsidR="000C7A3F" w:rsidRPr="007120E6" w:rsidRDefault="000C7A3F" w:rsidP="00FF7EE7">
      <w:pPr>
        <w:spacing w:line="240" w:lineRule="auto"/>
        <w:ind w:right="-351"/>
        <w:jc w:val="both"/>
        <w:rPr>
          <w:rFonts w:cs="Arial"/>
          <w:b/>
          <w:szCs w:val="20"/>
        </w:rPr>
      </w:pPr>
      <w:r w:rsidRPr="00A30C27">
        <w:rPr>
          <w:rFonts w:cs="Arial"/>
          <w:b/>
          <w:bCs/>
          <w:szCs w:val="20"/>
          <w:lang w:val="sv-SE"/>
        </w:rPr>
        <w:t>Akzo Nobel N.V. (AKZA; AKZOY) publicerar resultaten för det tredje kvartalet 2019</w:t>
      </w:r>
    </w:p>
    <w:p w14:paraId="69948213" w14:textId="77777777" w:rsidR="002170B6" w:rsidRPr="007120E6" w:rsidRDefault="002170B6" w:rsidP="00FF7EE7">
      <w:pPr>
        <w:spacing w:line="240" w:lineRule="auto"/>
        <w:ind w:right="-351"/>
        <w:jc w:val="both"/>
        <w:rPr>
          <w:rFonts w:cs="Arial"/>
          <w:szCs w:val="20"/>
        </w:rPr>
      </w:pPr>
    </w:p>
    <w:p w14:paraId="0514C2B1" w14:textId="13AA51FF" w:rsidR="00567BDE" w:rsidRPr="00A30C27" w:rsidRDefault="00567BDE" w:rsidP="007120E6">
      <w:pPr>
        <w:pStyle w:val="ListParagraph"/>
        <w:numPr>
          <w:ilvl w:val="0"/>
          <w:numId w:val="11"/>
        </w:numPr>
        <w:ind w:left="360"/>
        <w:rPr>
          <w:rFonts w:eastAsia="SimSun"/>
          <w:lang w:val="sv-SE"/>
        </w:rPr>
      </w:pPr>
      <w:r w:rsidRPr="00A30C27">
        <w:rPr>
          <w:rFonts w:eastAsia="SimSun"/>
          <w:lang w:val="sv-SE"/>
        </w:rPr>
        <w:t>Justerat rörelseresultat</w:t>
      </w:r>
      <w:r w:rsidRPr="00A30C27">
        <w:rPr>
          <w:rFonts w:eastAsia="SimSun"/>
          <w:vertAlign w:val="superscript"/>
          <w:lang w:val="sv-SE"/>
        </w:rPr>
        <w:t>1</w:t>
      </w:r>
      <w:r w:rsidRPr="00A30C27">
        <w:rPr>
          <w:rFonts w:eastAsia="SimSun"/>
          <w:lang w:val="sv-SE"/>
        </w:rPr>
        <w:t xml:space="preserve"> </w:t>
      </w:r>
      <w:r w:rsidR="009D36C5">
        <w:rPr>
          <w:rFonts w:eastAsia="SimSun"/>
          <w:lang w:val="sv-SE"/>
        </w:rPr>
        <w:t>ökade med</w:t>
      </w:r>
      <w:r w:rsidR="009D36C5" w:rsidRPr="00A30C27">
        <w:rPr>
          <w:rFonts w:eastAsia="SimSun"/>
          <w:lang w:val="sv-SE"/>
        </w:rPr>
        <w:t xml:space="preserve"> </w:t>
      </w:r>
      <w:r w:rsidRPr="00A30C27">
        <w:rPr>
          <w:rFonts w:eastAsia="SimSun"/>
          <w:lang w:val="sv-SE"/>
        </w:rPr>
        <w:t xml:space="preserve">23 % </w:t>
      </w:r>
      <w:r w:rsidR="009D36C5">
        <w:rPr>
          <w:rFonts w:eastAsia="SimSun"/>
          <w:lang w:val="sv-SE"/>
        </w:rPr>
        <w:t>till</w:t>
      </w:r>
      <w:r w:rsidRPr="00A30C27">
        <w:rPr>
          <w:rFonts w:eastAsia="SimSun"/>
          <w:lang w:val="sv-SE"/>
        </w:rPr>
        <w:t xml:space="preserve"> 300</w:t>
      </w:r>
      <w:r w:rsidR="0095316E">
        <w:rPr>
          <w:rFonts w:eastAsia="SimSun"/>
          <w:lang w:val="sv-SE"/>
        </w:rPr>
        <w:t xml:space="preserve"> </w:t>
      </w:r>
      <w:r w:rsidR="009D36C5">
        <w:rPr>
          <w:rFonts w:eastAsia="SimSun"/>
          <w:lang w:val="sv-SE"/>
        </w:rPr>
        <w:t>MEUR</w:t>
      </w:r>
      <w:r w:rsidRPr="00A30C27">
        <w:rPr>
          <w:rFonts w:eastAsia="SimSun"/>
          <w:lang w:val="sv-SE"/>
        </w:rPr>
        <w:t xml:space="preserve"> (2018: 243 </w:t>
      </w:r>
      <w:r w:rsidR="009D36C5">
        <w:rPr>
          <w:rFonts w:eastAsia="SimSun"/>
          <w:lang w:val="sv-SE"/>
        </w:rPr>
        <w:t>MEUR</w:t>
      </w:r>
      <w:r w:rsidRPr="00A30C27">
        <w:rPr>
          <w:rFonts w:eastAsia="SimSun"/>
          <w:lang w:val="sv-SE"/>
        </w:rPr>
        <w:t>)</w:t>
      </w:r>
    </w:p>
    <w:p w14:paraId="087DA552" w14:textId="0065BE25" w:rsidR="00567BDE" w:rsidRPr="00A30C27" w:rsidRDefault="00B977F4" w:rsidP="007120E6">
      <w:pPr>
        <w:pStyle w:val="ListParagraph"/>
        <w:numPr>
          <w:ilvl w:val="0"/>
          <w:numId w:val="11"/>
        </w:numPr>
        <w:ind w:left="360"/>
        <w:rPr>
          <w:rFonts w:eastAsia="SimSun"/>
          <w:lang w:val="sv-SE"/>
        </w:rPr>
      </w:pPr>
      <w:r w:rsidRPr="00A30C27">
        <w:rPr>
          <w:rFonts w:eastAsia="SimSun"/>
          <w:lang w:val="sv-SE"/>
        </w:rPr>
        <w:t>Vinstmarginal (ROS), exklusive icke-fördelade kostnader</w:t>
      </w:r>
      <w:r w:rsidRPr="00A30C27">
        <w:rPr>
          <w:rFonts w:eastAsia="SimSun"/>
          <w:vertAlign w:val="superscript"/>
          <w:lang w:val="sv-SE"/>
        </w:rPr>
        <w:t>2</w:t>
      </w:r>
      <w:r w:rsidRPr="00A30C27">
        <w:rPr>
          <w:rFonts w:eastAsia="SimSun"/>
          <w:lang w:val="sv-SE"/>
        </w:rPr>
        <w:t>, ökade till 13,8 % (2018: 12,3 %)</w:t>
      </w:r>
    </w:p>
    <w:p w14:paraId="573BE3EC" w14:textId="04188DDA" w:rsidR="00567BDE" w:rsidRPr="00A30C27" w:rsidRDefault="00567BDE" w:rsidP="007120E6">
      <w:pPr>
        <w:pStyle w:val="ListParagraph"/>
        <w:numPr>
          <w:ilvl w:val="0"/>
          <w:numId w:val="11"/>
        </w:numPr>
        <w:ind w:left="360"/>
        <w:rPr>
          <w:rFonts w:eastAsia="SimSun"/>
          <w:lang w:val="sv-SE"/>
        </w:rPr>
      </w:pPr>
      <w:r w:rsidRPr="00A30C27">
        <w:rPr>
          <w:rFonts w:eastAsia="SimSun"/>
          <w:lang w:val="sv-SE"/>
        </w:rPr>
        <w:t>Transformation</w:t>
      </w:r>
      <w:r w:rsidR="009D36C5">
        <w:rPr>
          <w:rFonts w:eastAsia="SimSun"/>
          <w:lang w:val="sv-SE"/>
        </w:rPr>
        <w:t>en</w:t>
      </w:r>
      <w:r w:rsidRPr="00A30C27">
        <w:rPr>
          <w:rFonts w:eastAsia="SimSun"/>
          <w:lang w:val="sv-SE"/>
        </w:rPr>
        <w:t xml:space="preserve"> på rätt spår och gav kostnadsbesparingar på 19</w:t>
      </w:r>
      <w:r w:rsidR="009D36C5">
        <w:rPr>
          <w:rFonts w:eastAsia="SimSun"/>
          <w:lang w:val="sv-SE"/>
        </w:rPr>
        <w:t xml:space="preserve"> MEUR</w:t>
      </w:r>
    </w:p>
    <w:p w14:paraId="2FA3CA39" w14:textId="0F17DEEC" w:rsidR="00567BDE" w:rsidRPr="00A30C27" w:rsidRDefault="00567BDE" w:rsidP="007120E6">
      <w:pPr>
        <w:pStyle w:val="ListParagraph"/>
        <w:numPr>
          <w:ilvl w:val="0"/>
          <w:numId w:val="11"/>
        </w:numPr>
        <w:ind w:left="360"/>
        <w:rPr>
          <w:rFonts w:eastAsia="SimSun"/>
          <w:lang w:val="sv-SE"/>
        </w:rPr>
      </w:pPr>
      <w:r w:rsidRPr="00A30C27">
        <w:rPr>
          <w:rFonts w:eastAsia="SimSun"/>
          <w:lang w:val="sv-SE"/>
        </w:rPr>
        <w:t xml:space="preserve">Justerade resultat per aktie (EPS) från kontinuerlig drift </w:t>
      </w:r>
      <w:r w:rsidR="009D36C5">
        <w:rPr>
          <w:rFonts w:eastAsia="SimSun"/>
          <w:lang w:val="sv-SE"/>
        </w:rPr>
        <w:t>ökade med</w:t>
      </w:r>
      <w:r w:rsidRPr="00A30C27">
        <w:rPr>
          <w:rFonts w:eastAsia="SimSun"/>
          <w:lang w:val="sv-SE"/>
        </w:rPr>
        <w:t xml:space="preserve"> 62 % </w:t>
      </w:r>
      <w:r w:rsidR="0067665A">
        <w:rPr>
          <w:rFonts w:eastAsia="SimSun"/>
          <w:lang w:val="sv-SE"/>
        </w:rPr>
        <w:t>till</w:t>
      </w:r>
      <w:r w:rsidRPr="00A30C27">
        <w:rPr>
          <w:rFonts w:eastAsia="SimSun"/>
          <w:lang w:val="sv-SE"/>
        </w:rPr>
        <w:t xml:space="preserve"> 0,97</w:t>
      </w:r>
      <w:r w:rsidR="0067665A">
        <w:rPr>
          <w:rFonts w:eastAsia="SimSun"/>
          <w:lang w:val="sv-SE"/>
        </w:rPr>
        <w:t xml:space="preserve"> euro</w:t>
      </w:r>
      <w:r w:rsidRPr="00A30C27">
        <w:rPr>
          <w:rFonts w:eastAsia="SimSun"/>
          <w:lang w:val="sv-SE"/>
        </w:rPr>
        <w:t xml:space="preserve"> (2018: 0,60</w:t>
      </w:r>
      <w:r w:rsidR="0067665A">
        <w:rPr>
          <w:rFonts w:eastAsia="SimSun"/>
          <w:lang w:val="sv-SE"/>
        </w:rPr>
        <w:t xml:space="preserve"> euro</w:t>
      </w:r>
      <w:r w:rsidRPr="00A30C27">
        <w:rPr>
          <w:rFonts w:eastAsia="SimSun"/>
          <w:lang w:val="sv-SE"/>
        </w:rPr>
        <w:t>)</w:t>
      </w:r>
    </w:p>
    <w:p w14:paraId="3991BF5B" w14:textId="08185B03" w:rsidR="00567BDE" w:rsidRPr="00A30C27" w:rsidRDefault="007120E6" w:rsidP="007120E6">
      <w:pPr>
        <w:pStyle w:val="ListParagraph"/>
        <w:numPr>
          <w:ilvl w:val="0"/>
          <w:numId w:val="11"/>
        </w:numPr>
        <w:ind w:left="360"/>
        <w:rPr>
          <w:rFonts w:eastAsia="SimSun"/>
          <w:lang w:val="sv-SE"/>
        </w:rPr>
      </w:pPr>
      <w:r w:rsidRPr="00A30C27">
        <w:rPr>
          <w:lang w:val="sv-SE"/>
        </w:rPr>
        <w:t>Nytt aktieåterköp tillkännagivet, 500</w:t>
      </w:r>
      <w:r w:rsidR="0095316E">
        <w:rPr>
          <w:lang w:val="sv-SE"/>
        </w:rPr>
        <w:t xml:space="preserve"> </w:t>
      </w:r>
      <w:r w:rsidR="00F55BB5">
        <w:rPr>
          <w:lang w:val="sv-SE"/>
        </w:rPr>
        <w:t>MEUR</w:t>
      </w:r>
      <w:r w:rsidRPr="00A30C27">
        <w:rPr>
          <w:lang w:val="sv-SE"/>
        </w:rPr>
        <w:t xml:space="preserve"> miljoner ska slutföras under första halvan av 2020</w:t>
      </w:r>
    </w:p>
    <w:p w14:paraId="3AF583B9" w14:textId="1BF27DBE" w:rsidR="00680239" w:rsidRPr="007120E6" w:rsidRDefault="00680239" w:rsidP="007120E6">
      <w:pPr>
        <w:ind w:left="360"/>
      </w:pPr>
    </w:p>
    <w:p w14:paraId="57B83AB3" w14:textId="0EC61DBF" w:rsidR="00CE75FA" w:rsidRPr="007120E6" w:rsidRDefault="00CE75FA" w:rsidP="007120E6">
      <w:pPr>
        <w:rPr>
          <w:b/>
        </w:rPr>
      </w:pPr>
      <w:r>
        <w:rPr>
          <w:b/>
          <w:bCs/>
          <w:lang w:val="en"/>
        </w:rPr>
        <w:t xml:space="preserve">Q3 2019: </w:t>
      </w:r>
    </w:p>
    <w:p w14:paraId="03A34055" w14:textId="38C2C3A5" w:rsidR="002170B6" w:rsidRPr="00A30C27" w:rsidRDefault="002170B6" w:rsidP="007120E6">
      <w:pPr>
        <w:pStyle w:val="ListParagraph"/>
        <w:numPr>
          <w:ilvl w:val="0"/>
          <w:numId w:val="11"/>
        </w:numPr>
        <w:ind w:left="360"/>
        <w:rPr>
          <w:rFonts w:eastAsia="SimSun"/>
          <w:lang w:val="sv-SE"/>
        </w:rPr>
      </w:pPr>
      <w:r w:rsidRPr="00A30C27">
        <w:rPr>
          <w:rFonts w:eastAsia="SimSun"/>
          <w:lang w:val="sv-SE"/>
        </w:rPr>
        <w:t xml:space="preserve">Avkastning </w:t>
      </w:r>
      <w:r w:rsidR="0067665A">
        <w:rPr>
          <w:rFonts w:eastAsia="SimSun"/>
          <w:lang w:val="sv-SE"/>
        </w:rPr>
        <w:t>ökade med</w:t>
      </w:r>
      <w:r w:rsidR="0067665A" w:rsidRPr="00A30C27">
        <w:rPr>
          <w:rFonts w:eastAsia="SimSun"/>
          <w:lang w:val="sv-SE"/>
        </w:rPr>
        <w:t xml:space="preserve"> </w:t>
      </w:r>
      <w:r w:rsidRPr="00A30C27">
        <w:rPr>
          <w:rFonts w:eastAsia="SimSun"/>
          <w:lang w:val="sv-SE"/>
        </w:rPr>
        <w:t xml:space="preserve">3 % och 2 % högre i konstanta valutor, med positiva pris/mix-effekter på 4 % och förvärv på 1 %, uppvägt av 4 % lägre volymer </w:t>
      </w:r>
    </w:p>
    <w:p w14:paraId="28E7B48D" w14:textId="06F47C4A" w:rsidR="002170B6" w:rsidRPr="00A30C27" w:rsidRDefault="002170B6" w:rsidP="007120E6">
      <w:pPr>
        <w:pStyle w:val="ListParagraph"/>
        <w:numPr>
          <w:ilvl w:val="0"/>
          <w:numId w:val="11"/>
        </w:numPr>
        <w:ind w:left="360"/>
        <w:rPr>
          <w:rFonts w:eastAsia="SimSun"/>
          <w:lang w:val="sv-SE"/>
        </w:rPr>
      </w:pPr>
      <w:r w:rsidRPr="00A30C27">
        <w:rPr>
          <w:rFonts w:eastAsia="SimSun"/>
          <w:lang w:val="sv-SE"/>
        </w:rPr>
        <w:t xml:space="preserve">Justerat rörelseresultat </w:t>
      </w:r>
      <w:r w:rsidR="0067665A">
        <w:rPr>
          <w:rFonts w:eastAsia="SimSun"/>
          <w:lang w:val="sv-SE"/>
        </w:rPr>
        <w:t>ökade med</w:t>
      </w:r>
      <w:r w:rsidRPr="00A30C27">
        <w:rPr>
          <w:rFonts w:eastAsia="SimSun"/>
          <w:lang w:val="sv-SE"/>
        </w:rPr>
        <w:t xml:space="preserve"> 23 % </w:t>
      </w:r>
      <w:r w:rsidR="0067665A">
        <w:rPr>
          <w:rFonts w:eastAsia="SimSun"/>
          <w:lang w:val="sv-SE"/>
        </w:rPr>
        <w:t>till</w:t>
      </w:r>
      <w:r w:rsidR="0067665A" w:rsidRPr="00A30C27">
        <w:rPr>
          <w:rFonts w:eastAsia="SimSun"/>
          <w:lang w:val="sv-SE"/>
        </w:rPr>
        <w:t xml:space="preserve"> </w:t>
      </w:r>
      <w:r w:rsidRPr="00A30C27">
        <w:rPr>
          <w:rFonts w:eastAsia="SimSun"/>
          <w:lang w:val="sv-SE"/>
        </w:rPr>
        <w:t>300</w:t>
      </w:r>
      <w:r w:rsidR="00940CAF">
        <w:rPr>
          <w:rFonts w:eastAsia="SimSun"/>
          <w:lang w:val="sv-SE"/>
        </w:rPr>
        <w:t xml:space="preserve"> </w:t>
      </w:r>
      <w:r w:rsidR="0067665A">
        <w:rPr>
          <w:rFonts w:eastAsia="SimSun"/>
          <w:lang w:val="sv-SE"/>
        </w:rPr>
        <w:t>MEUR</w:t>
      </w:r>
      <w:r w:rsidRPr="00A30C27">
        <w:rPr>
          <w:rFonts w:eastAsia="SimSun"/>
          <w:lang w:val="sv-SE"/>
        </w:rPr>
        <w:t xml:space="preserve"> (2018: 243</w:t>
      </w:r>
      <w:r w:rsidR="00940CAF">
        <w:rPr>
          <w:rFonts w:eastAsia="SimSun"/>
          <w:lang w:val="sv-SE"/>
        </w:rPr>
        <w:t xml:space="preserve"> </w:t>
      </w:r>
      <w:r w:rsidR="0067665A">
        <w:rPr>
          <w:rFonts w:eastAsia="SimSun"/>
          <w:lang w:val="sv-SE"/>
        </w:rPr>
        <w:t>MEUR</w:t>
      </w:r>
      <w:r w:rsidRPr="00A30C27">
        <w:rPr>
          <w:rFonts w:eastAsia="SimSun"/>
          <w:lang w:val="sv-SE"/>
        </w:rPr>
        <w:t xml:space="preserve">) tack vare fortgående prissättningsinitiativ och kostnadsbesparingsprogram; ROS ökade till 12,5% (2018: 10,4 %)  </w:t>
      </w:r>
    </w:p>
    <w:p w14:paraId="5C065D7D" w14:textId="455BE675" w:rsidR="002170B6" w:rsidRPr="00A30C27" w:rsidRDefault="002170B6" w:rsidP="007120E6">
      <w:pPr>
        <w:pStyle w:val="ListParagraph"/>
        <w:numPr>
          <w:ilvl w:val="0"/>
          <w:numId w:val="11"/>
        </w:numPr>
        <w:ind w:left="360"/>
        <w:rPr>
          <w:rFonts w:eastAsia="SimSun"/>
          <w:lang w:val="sv-SE"/>
        </w:rPr>
      </w:pPr>
      <w:r w:rsidRPr="00A30C27">
        <w:rPr>
          <w:rFonts w:eastAsia="SimSun"/>
          <w:lang w:val="sv-SE"/>
        </w:rPr>
        <w:t>Rörelseresultat på 247</w:t>
      </w:r>
      <w:r w:rsidR="00940CAF">
        <w:rPr>
          <w:rFonts w:eastAsia="SimSun"/>
          <w:lang w:val="sv-SE"/>
        </w:rPr>
        <w:t xml:space="preserve"> </w:t>
      </w:r>
      <w:r w:rsidR="0067665A">
        <w:rPr>
          <w:rFonts w:eastAsia="SimSun"/>
          <w:lang w:val="sv-SE"/>
        </w:rPr>
        <w:t>MEUR</w:t>
      </w:r>
      <w:r w:rsidRPr="00A30C27">
        <w:rPr>
          <w:rFonts w:eastAsia="SimSun"/>
          <w:lang w:val="sv-SE"/>
        </w:rPr>
        <w:t xml:space="preserve"> inkluderar 53</w:t>
      </w:r>
      <w:r w:rsidR="00940CAF">
        <w:rPr>
          <w:rFonts w:eastAsia="SimSun"/>
          <w:lang w:val="sv-SE"/>
        </w:rPr>
        <w:t xml:space="preserve"> </w:t>
      </w:r>
      <w:r w:rsidR="0067665A">
        <w:rPr>
          <w:rFonts w:eastAsia="SimSun"/>
          <w:lang w:val="sv-SE"/>
        </w:rPr>
        <w:t>MEUR</w:t>
      </w:r>
      <w:r w:rsidRPr="00A30C27">
        <w:rPr>
          <w:rFonts w:eastAsia="SimSun"/>
          <w:lang w:val="sv-SE"/>
        </w:rPr>
        <w:t xml:space="preserve"> negativ effekt från identifierade poster, relaterat till transformationskostnader och </w:t>
      </w:r>
      <w:proofErr w:type="gramStart"/>
      <w:r w:rsidRPr="00A30C27">
        <w:rPr>
          <w:rFonts w:eastAsia="SimSun"/>
          <w:lang w:val="sv-SE"/>
        </w:rPr>
        <w:t>ej</w:t>
      </w:r>
      <w:proofErr w:type="gramEnd"/>
      <w:r w:rsidRPr="00A30C27">
        <w:rPr>
          <w:rFonts w:eastAsia="SimSun"/>
          <w:lang w:val="sv-SE"/>
        </w:rPr>
        <w:t xml:space="preserve"> kontanta nedskrivningar; 2018 års rörelseresultat på 237</w:t>
      </w:r>
      <w:r w:rsidR="00940CAF">
        <w:rPr>
          <w:rFonts w:eastAsia="SimSun"/>
          <w:lang w:val="sv-SE"/>
        </w:rPr>
        <w:t xml:space="preserve"> </w:t>
      </w:r>
      <w:r w:rsidR="0067665A">
        <w:rPr>
          <w:rFonts w:eastAsia="SimSun"/>
          <w:lang w:val="sv-SE"/>
        </w:rPr>
        <w:t>MEUR</w:t>
      </w:r>
      <w:r w:rsidRPr="00A30C27">
        <w:rPr>
          <w:rFonts w:eastAsia="SimSun"/>
          <w:lang w:val="sv-SE"/>
        </w:rPr>
        <w:t xml:space="preserve"> inkluderade 6</w:t>
      </w:r>
      <w:r w:rsidR="00940CAF">
        <w:rPr>
          <w:rFonts w:eastAsia="SimSun"/>
          <w:lang w:val="sv-SE"/>
        </w:rPr>
        <w:t xml:space="preserve"> </w:t>
      </w:r>
      <w:r w:rsidR="0067665A">
        <w:rPr>
          <w:rFonts w:eastAsia="SimSun"/>
          <w:lang w:val="sv-SE"/>
        </w:rPr>
        <w:t>MEUR</w:t>
      </w:r>
      <w:r w:rsidRPr="00A30C27">
        <w:rPr>
          <w:rFonts w:eastAsia="SimSun"/>
          <w:lang w:val="sv-SE"/>
        </w:rPr>
        <w:t xml:space="preserve"> miljoner negativt identifierade poster  </w:t>
      </w:r>
    </w:p>
    <w:p w14:paraId="7B3D5D32" w14:textId="3038AFF2" w:rsidR="002170B6" w:rsidRPr="007120E6" w:rsidRDefault="002170B6" w:rsidP="007120E6">
      <w:pPr>
        <w:pStyle w:val="ListParagraph"/>
        <w:numPr>
          <w:ilvl w:val="0"/>
          <w:numId w:val="11"/>
        </w:numPr>
        <w:ind w:left="360"/>
        <w:rPr>
          <w:rFonts w:eastAsia="SimSun"/>
        </w:rPr>
      </w:pPr>
      <w:r>
        <w:rPr>
          <w:rFonts w:eastAsia="SimSun"/>
          <w:lang w:val="en"/>
        </w:rPr>
        <w:t xml:space="preserve">Decorative Paints ROS </w:t>
      </w:r>
      <w:proofErr w:type="spellStart"/>
      <w:r>
        <w:rPr>
          <w:rFonts w:eastAsia="SimSun"/>
          <w:lang w:val="en"/>
        </w:rPr>
        <w:t>upp</w:t>
      </w:r>
      <w:r w:rsidR="0067665A">
        <w:rPr>
          <w:rFonts w:eastAsia="SimSun"/>
          <w:lang w:val="en"/>
        </w:rPr>
        <w:t>gick</w:t>
      </w:r>
      <w:proofErr w:type="spellEnd"/>
      <w:r w:rsidR="0067665A">
        <w:rPr>
          <w:rFonts w:eastAsia="SimSun"/>
          <w:lang w:val="en"/>
        </w:rPr>
        <w:t xml:space="preserve"> till</w:t>
      </w:r>
      <w:r>
        <w:rPr>
          <w:rFonts w:eastAsia="SimSun"/>
          <w:lang w:val="en"/>
        </w:rPr>
        <w:t xml:space="preserve"> 13,8 % (2018: 12,1 %); Performance Coatings ROS </w:t>
      </w:r>
      <w:proofErr w:type="spellStart"/>
      <w:r>
        <w:rPr>
          <w:rFonts w:eastAsia="SimSun"/>
          <w:lang w:val="en"/>
        </w:rPr>
        <w:t>upp</w:t>
      </w:r>
      <w:r w:rsidR="0067665A">
        <w:rPr>
          <w:rFonts w:eastAsia="SimSun"/>
          <w:lang w:val="en"/>
        </w:rPr>
        <w:t>gick</w:t>
      </w:r>
      <w:proofErr w:type="spellEnd"/>
      <w:r>
        <w:rPr>
          <w:rFonts w:eastAsia="SimSun"/>
          <w:lang w:val="en"/>
        </w:rPr>
        <w:t xml:space="preserve"> </w:t>
      </w:r>
      <w:r w:rsidR="0067665A">
        <w:rPr>
          <w:rFonts w:eastAsia="SimSun"/>
          <w:lang w:val="en"/>
        </w:rPr>
        <w:t>till</w:t>
      </w:r>
      <w:r>
        <w:rPr>
          <w:rFonts w:eastAsia="SimSun"/>
          <w:lang w:val="en"/>
        </w:rPr>
        <w:t xml:space="preserve"> 13,7 % (2018: 12,2 %) </w:t>
      </w:r>
    </w:p>
    <w:p w14:paraId="7C2D50BB" w14:textId="7EE83A74" w:rsidR="002170B6" w:rsidRPr="00A30C27" w:rsidRDefault="002170B6" w:rsidP="007120E6">
      <w:pPr>
        <w:pStyle w:val="ListParagraph"/>
        <w:numPr>
          <w:ilvl w:val="0"/>
          <w:numId w:val="11"/>
        </w:numPr>
        <w:ind w:left="360"/>
        <w:rPr>
          <w:rFonts w:eastAsia="SimSun"/>
          <w:lang w:val="sv-SE"/>
        </w:rPr>
      </w:pPr>
      <w:r w:rsidRPr="00A30C27">
        <w:rPr>
          <w:rFonts w:eastAsia="SimSun"/>
          <w:lang w:val="sv-SE"/>
        </w:rPr>
        <w:t>Verksamhetens totala nettoinkomst är 162</w:t>
      </w:r>
      <w:r w:rsidR="00466DDB">
        <w:rPr>
          <w:rFonts w:eastAsia="SimSun"/>
          <w:lang w:val="sv-SE"/>
        </w:rPr>
        <w:t xml:space="preserve"> </w:t>
      </w:r>
      <w:r w:rsidR="0067665A">
        <w:rPr>
          <w:rFonts w:eastAsia="SimSun"/>
          <w:lang w:val="sv-SE"/>
        </w:rPr>
        <w:t>MEUR</w:t>
      </w:r>
      <w:r w:rsidRPr="00A30C27">
        <w:rPr>
          <w:rFonts w:eastAsia="SimSun"/>
          <w:lang w:val="sv-SE"/>
        </w:rPr>
        <w:t>, inklusive saknad nettoinkomst från avvecklade verksamheter (2018: 301</w:t>
      </w:r>
      <w:r w:rsidR="00466DDB">
        <w:rPr>
          <w:rFonts w:eastAsia="SimSun"/>
          <w:lang w:val="sv-SE"/>
        </w:rPr>
        <w:t xml:space="preserve"> </w:t>
      </w:r>
      <w:r w:rsidR="0067665A">
        <w:rPr>
          <w:rFonts w:eastAsia="SimSun"/>
          <w:lang w:val="sv-SE"/>
        </w:rPr>
        <w:t>MEUR</w:t>
      </w:r>
      <w:r w:rsidRPr="00A30C27">
        <w:rPr>
          <w:rFonts w:eastAsia="SimSun"/>
          <w:lang w:val="sv-SE"/>
        </w:rPr>
        <w:t>, inklusive 152</w:t>
      </w:r>
      <w:r w:rsidR="00466DDB">
        <w:rPr>
          <w:rFonts w:eastAsia="SimSun"/>
          <w:lang w:val="sv-SE"/>
        </w:rPr>
        <w:t xml:space="preserve"> </w:t>
      </w:r>
      <w:r w:rsidR="0067665A">
        <w:rPr>
          <w:rFonts w:eastAsia="SimSun"/>
          <w:lang w:val="sv-SE"/>
        </w:rPr>
        <w:t>MEUR</w:t>
      </w:r>
      <w:r w:rsidRPr="00A30C27">
        <w:rPr>
          <w:rFonts w:eastAsia="SimSun"/>
          <w:lang w:val="sv-SE"/>
        </w:rPr>
        <w:t xml:space="preserve"> från avvecklade verksamheter)</w:t>
      </w:r>
    </w:p>
    <w:p w14:paraId="717F02A7" w14:textId="6421B5D8" w:rsidR="002170B6" w:rsidRPr="00A30C27" w:rsidRDefault="002170B6" w:rsidP="007120E6">
      <w:pPr>
        <w:pStyle w:val="ListParagraph"/>
        <w:numPr>
          <w:ilvl w:val="0"/>
          <w:numId w:val="11"/>
        </w:numPr>
        <w:ind w:left="360"/>
        <w:rPr>
          <w:rFonts w:eastAsia="SimSun"/>
          <w:lang w:val="sv-SE"/>
        </w:rPr>
      </w:pPr>
      <w:r w:rsidRPr="00A30C27">
        <w:rPr>
          <w:rFonts w:eastAsia="SimSun"/>
          <w:lang w:val="sv-SE"/>
        </w:rPr>
        <w:t xml:space="preserve">Justerade resultat per aktie från kontinuerlig drift </w:t>
      </w:r>
      <w:r w:rsidR="0067665A">
        <w:rPr>
          <w:rFonts w:eastAsia="SimSun"/>
          <w:lang w:val="sv-SE"/>
        </w:rPr>
        <w:t xml:space="preserve">ökade </w:t>
      </w:r>
      <w:r w:rsidR="00C94057">
        <w:rPr>
          <w:rFonts w:eastAsia="SimSun"/>
          <w:lang w:val="sv-SE"/>
        </w:rPr>
        <w:t>m</w:t>
      </w:r>
      <w:r w:rsidR="0067665A">
        <w:rPr>
          <w:rFonts w:eastAsia="SimSun"/>
          <w:lang w:val="sv-SE"/>
        </w:rPr>
        <w:t>ed</w:t>
      </w:r>
      <w:r w:rsidRPr="00A30C27">
        <w:rPr>
          <w:rFonts w:eastAsia="SimSun"/>
          <w:lang w:val="sv-SE"/>
        </w:rPr>
        <w:t xml:space="preserve"> 62 % </w:t>
      </w:r>
      <w:r w:rsidR="0067665A">
        <w:rPr>
          <w:rFonts w:eastAsia="SimSun"/>
          <w:lang w:val="sv-SE"/>
        </w:rPr>
        <w:t>till</w:t>
      </w:r>
      <w:r w:rsidRPr="00A30C27">
        <w:rPr>
          <w:rFonts w:eastAsia="SimSun"/>
          <w:lang w:val="sv-SE"/>
        </w:rPr>
        <w:t xml:space="preserve"> 0,97</w:t>
      </w:r>
      <w:r w:rsidR="00C94057">
        <w:rPr>
          <w:rFonts w:eastAsia="SimSun"/>
          <w:lang w:val="sv-SE"/>
        </w:rPr>
        <w:t xml:space="preserve"> euro</w:t>
      </w:r>
      <w:r w:rsidRPr="00A30C27">
        <w:rPr>
          <w:rFonts w:eastAsia="SimSun"/>
          <w:lang w:val="sv-SE"/>
        </w:rPr>
        <w:t xml:space="preserve"> (2018: 0,60</w:t>
      </w:r>
      <w:r w:rsidR="00C94057">
        <w:rPr>
          <w:rFonts w:eastAsia="SimSun"/>
          <w:lang w:val="sv-SE"/>
        </w:rPr>
        <w:t xml:space="preserve"> euro</w:t>
      </w:r>
      <w:r w:rsidRPr="00A30C27">
        <w:rPr>
          <w:rFonts w:eastAsia="SimSun"/>
          <w:lang w:val="sv-SE"/>
        </w:rPr>
        <w:t>); resultat per aktie från samtliga verksamheter 0,79</w:t>
      </w:r>
      <w:r w:rsidR="0067665A">
        <w:rPr>
          <w:rFonts w:eastAsia="SimSun"/>
          <w:lang w:val="sv-SE"/>
        </w:rPr>
        <w:t xml:space="preserve"> euro</w:t>
      </w:r>
      <w:r w:rsidRPr="00A30C27">
        <w:rPr>
          <w:rFonts w:eastAsia="SimSun"/>
          <w:lang w:val="sv-SE"/>
        </w:rPr>
        <w:t xml:space="preserve"> (2018: 1,18</w:t>
      </w:r>
      <w:r w:rsidR="0067665A">
        <w:rPr>
          <w:rFonts w:eastAsia="SimSun"/>
          <w:lang w:val="sv-SE"/>
        </w:rPr>
        <w:t xml:space="preserve"> euro</w:t>
      </w:r>
      <w:r w:rsidRPr="00A30C27">
        <w:rPr>
          <w:rFonts w:eastAsia="SimSun"/>
          <w:lang w:val="sv-SE"/>
        </w:rPr>
        <w:t>)</w:t>
      </w:r>
    </w:p>
    <w:p w14:paraId="3095B016" w14:textId="53A0B3AF" w:rsidR="002170B6" w:rsidRPr="004A79A4" w:rsidRDefault="002170B6" w:rsidP="007120E6">
      <w:pPr>
        <w:pStyle w:val="ListParagraph"/>
        <w:numPr>
          <w:ilvl w:val="0"/>
          <w:numId w:val="11"/>
        </w:numPr>
        <w:ind w:left="360"/>
        <w:rPr>
          <w:rFonts w:eastAsia="SimSun"/>
          <w:lang w:val="sv-SE"/>
        </w:rPr>
      </w:pPr>
      <w:r w:rsidRPr="004A79A4">
        <w:rPr>
          <w:rFonts w:eastAsia="SimSun"/>
          <w:lang w:val="sv-SE"/>
        </w:rPr>
        <w:t>2,2</w:t>
      </w:r>
      <w:r w:rsidR="00466DDB">
        <w:rPr>
          <w:rFonts w:eastAsia="SimSun"/>
          <w:lang w:val="sv-SE"/>
        </w:rPr>
        <w:t xml:space="preserve"> </w:t>
      </w:r>
      <w:r w:rsidR="0067665A" w:rsidRPr="004A79A4">
        <w:rPr>
          <w:rFonts w:eastAsia="SimSun"/>
          <w:lang w:val="sv-SE"/>
        </w:rPr>
        <w:t>GE</w:t>
      </w:r>
      <w:r w:rsidR="0067665A">
        <w:rPr>
          <w:rFonts w:eastAsia="SimSun"/>
          <w:lang w:val="sv-SE"/>
        </w:rPr>
        <w:t>UR</w:t>
      </w:r>
      <w:r w:rsidRPr="004A79A4">
        <w:rPr>
          <w:rFonts w:eastAsia="SimSun"/>
          <w:lang w:val="sv-SE"/>
        </w:rPr>
        <w:t xml:space="preserve"> av 2,5</w:t>
      </w:r>
      <w:r w:rsidR="00466DDB">
        <w:rPr>
          <w:rFonts w:eastAsia="SimSun"/>
          <w:lang w:val="sv-SE"/>
        </w:rPr>
        <w:t xml:space="preserve"> </w:t>
      </w:r>
      <w:r w:rsidR="0067665A">
        <w:rPr>
          <w:rFonts w:eastAsia="SimSun"/>
          <w:lang w:val="sv-SE"/>
        </w:rPr>
        <w:t>GEUR</w:t>
      </w:r>
      <w:r w:rsidRPr="004A79A4">
        <w:rPr>
          <w:rFonts w:eastAsia="SimSun"/>
          <w:lang w:val="sv-SE"/>
        </w:rPr>
        <w:t xml:space="preserve"> miljarder aktieåterköpsprogram slutförda</w:t>
      </w:r>
    </w:p>
    <w:p w14:paraId="799119B9" w14:textId="7ACF3405" w:rsidR="002170B6" w:rsidRPr="007120E6" w:rsidRDefault="002170B6" w:rsidP="007120E6">
      <w:pPr>
        <w:pStyle w:val="ListParagraph"/>
        <w:numPr>
          <w:ilvl w:val="0"/>
          <w:numId w:val="11"/>
        </w:numPr>
        <w:ind w:left="360"/>
        <w:rPr>
          <w:rFonts w:eastAsia="SimSun"/>
        </w:rPr>
      </w:pPr>
      <w:proofErr w:type="spellStart"/>
      <w:r>
        <w:rPr>
          <w:rFonts w:eastAsia="SimSun"/>
          <w:lang w:val="en"/>
        </w:rPr>
        <w:t>Mellantidsutdelning</w:t>
      </w:r>
      <w:proofErr w:type="spellEnd"/>
      <w:r>
        <w:rPr>
          <w:rFonts w:eastAsia="SimSun"/>
          <w:lang w:val="en"/>
        </w:rPr>
        <w:t xml:space="preserve"> 0,41</w:t>
      </w:r>
      <w:r w:rsidR="0067665A">
        <w:rPr>
          <w:rFonts w:eastAsia="SimSun"/>
          <w:lang w:val="en"/>
        </w:rPr>
        <w:t xml:space="preserve"> euro</w:t>
      </w:r>
      <w:r>
        <w:rPr>
          <w:rFonts w:eastAsia="SimSun"/>
          <w:lang w:val="en"/>
        </w:rPr>
        <w:t xml:space="preserve"> per </w:t>
      </w:r>
      <w:proofErr w:type="spellStart"/>
      <w:r>
        <w:rPr>
          <w:rFonts w:eastAsia="SimSun"/>
          <w:lang w:val="en"/>
        </w:rPr>
        <w:t>aktie</w:t>
      </w:r>
      <w:proofErr w:type="spellEnd"/>
    </w:p>
    <w:p w14:paraId="7D392823" w14:textId="77777777" w:rsidR="00482A32" w:rsidRPr="007120E6" w:rsidRDefault="00482A32" w:rsidP="00482A32">
      <w:pPr>
        <w:autoSpaceDE w:val="0"/>
        <w:autoSpaceDN w:val="0"/>
        <w:adjustRightInd w:val="0"/>
        <w:spacing w:line="241" w:lineRule="atLeast"/>
        <w:ind w:right="-351"/>
        <w:rPr>
          <w:rFonts w:cs="Arial"/>
          <w:szCs w:val="20"/>
        </w:rPr>
      </w:pPr>
    </w:p>
    <w:p w14:paraId="05A91026" w14:textId="79027744" w:rsidR="00076B74" w:rsidRPr="007120E6" w:rsidRDefault="00072526" w:rsidP="00076B74">
      <w:pPr>
        <w:autoSpaceDE w:val="0"/>
        <w:autoSpaceDN w:val="0"/>
        <w:adjustRightInd w:val="0"/>
        <w:spacing w:after="0" w:line="240" w:lineRule="auto"/>
        <w:ind w:right="-351"/>
        <w:rPr>
          <w:rFonts w:cs="Arial"/>
          <w:b/>
          <w:bCs/>
          <w:szCs w:val="20"/>
        </w:rPr>
      </w:pPr>
      <w:bookmarkStart w:id="2" w:name="_Hlk6569419"/>
      <w:proofErr w:type="spellStart"/>
      <w:r w:rsidRPr="00A30C27">
        <w:rPr>
          <w:rFonts w:cs="Arial"/>
          <w:b/>
          <w:bCs/>
          <w:szCs w:val="20"/>
          <w:lang w:val="sv-SE"/>
        </w:rPr>
        <w:t>AkzoNobels</w:t>
      </w:r>
      <w:proofErr w:type="spellEnd"/>
      <w:r w:rsidRPr="00A30C27">
        <w:rPr>
          <w:rFonts w:cs="Arial"/>
          <w:b/>
          <w:bCs/>
          <w:szCs w:val="20"/>
          <w:lang w:val="sv-SE"/>
        </w:rPr>
        <w:t xml:space="preserve"> CEO, Thierry </w:t>
      </w:r>
      <w:proofErr w:type="spellStart"/>
      <w:r w:rsidRPr="00A30C27">
        <w:rPr>
          <w:rFonts w:cs="Arial"/>
          <w:b/>
          <w:bCs/>
          <w:szCs w:val="20"/>
          <w:lang w:val="sv-SE"/>
        </w:rPr>
        <w:t>Vanlancker</w:t>
      </w:r>
      <w:proofErr w:type="spellEnd"/>
      <w:r w:rsidRPr="00A30C27">
        <w:rPr>
          <w:rFonts w:cs="Arial"/>
          <w:b/>
          <w:bCs/>
          <w:szCs w:val="20"/>
          <w:lang w:val="sv-SE"/>
        </w:rPr>
        <w:t>, kommenterade:</w:t>
      </w:r>
    </w:p>
    <w:p w14:paraId="494A6AE3" w14:textId="75F8ACE8" w:rsidR="00482A32" w:rsidRPr="007120E6" w:rsidRDefault="0046129C" w:rsidP="00482A32">
      <w:pPr>
        <w:rPr>
          <w:rFonts w:cs="Arial"/>
        </w:rPr>
      </w:pPr>
      <w:bookmarkStart w:id="3" w:name="_Hlk6398964"/>
      <w:r w:rsidRPr="00A30C27">
        <w:rPr>
          <w:rStyle w:val="normaltextrun1"/>
          <w:rFonts w:cs="Arial"/>
          <w:lang w:val="sv-SE"/>
        </w:rPr>
        <w:t>”</w:t>
      </w:r>
      <w:bookmarkEnd w:id="2"/>
      <w:bookmarkEnd w:id="3"/>
      <w:r w:rsidRPr="00A30C27">
        <w:rPr>
          <w:rFonts w:cs="Arial"/>
          <w:lang w:val="sv-SE"/>
        </w:rPr>
        <w:t xml:space="preserve">Vi gör stora framsteg mot vårt mål för 2020 </w:t>
      </w:r>
      <w:bookmarkStart w:id="4" w:name="_Hlk22311511"/>
      <w:bookmarkStart w:id="5" w:name="_Hlk22311995"/>
      <w:r w:rsidRPr="00A30C27">
        <w:rPr>
          <w:rFonts w:cs="Arial"/>
          <w:lang w:val="sv-SE"/>
        </w:rPr>
        <w:t>med en vinstmarginal på 13,8 %, vilket motsvarar en ökning på årsbasis för det femte kvartalet i rad.</w:t>
      </w:r>
      <w:bookmarkEnd w:id="4"/>
      <w:r w:rsidRPr="00A30C27">
        <w:rPr>
          <w:rFonts w:cs="Arial"/>
          <w:lang w:val="sv-SE"/>
        </w:rPr>
        <w:t xml:space="preserve"> </w:t>
      </w:r>
      <w:bookmarkEnd w:id="5"/>
      <w:r w:rsidRPr="00A30C27">
        <w:rPr>
          <w:rFonts w:cs="Arial"/>
          <w:lang w:val="sv-SE"/>
        </w:rPr>
        <w:t xml:space="preserve">Vår vinstförbättring på 23 % i det tredje kvartalet var stark, trots att vi var tvungna att hantera en dämpad efterfrågan på slutmarknaden. </w:t>
      </w:r>
    </w:p>
    <w:p w14:paraId="46F36F11" w14:textId="198336B7" w:rsidR="00482A32" w:rsidRPr="007120E6" w:rsidRDefault="00482A32" w:rsidP="00482A32">
      <w:pPr>
        <w:rPr>
          <w:rFonts w:cs="Arial"/>
        </w:rPr>
      </w:pPr>
    </w:p>
    <w:p w14:paraId="2D947194" w14:textId="7A0BA391" w:rsidR="00482A32" w:rsidRPr="007120E6" w:rsidRDefault="00482A32" w:rsidP="00482A32">
      <w:pPr>
        <w:rPr>
          <w:rFonts w:cs="Arial"/>
        </w:rPr>
      </w:pPr>
      <w:r w:rsidRPr="00A30C27">
        <w:rPr>
          <w:rFonts w:cs="Arial"/>
          <w:lang w:val="sv-SE"/>
        </w:rPr>
        <w:t>”Framstegen vi gjorde under Q3 berodde till stor del på våra fortgående prissättningsinitiativ och kostnadsbesparingsprog</w:t>
      </w:r>
      <w:r w:rsidR="00C94057">
        <w:rPr>
          <w:rFonts w:cs="Arial"/>
          <w:lang w:val="sv-SE"/>
        </w:rPr>
        <w:t>ra</w:t>
      </w:r>
      <w:r w:rsidRPr="00A30C27">
        <w:rPr>
          <w:rFonts w:cs="Arial"/>
          <w:lang w:val="sv-SE"/>
        </w:rPr>
        <w:t>m. Vårt fokus på värde över volym fortsatte leverera resultat.</w:t>
      </w:r>
    </w:p>
    <w:p w14:paraId="75663C93" w14:textId="59D6B6D6" w:rsidR="00482A32" w:rsidRPr="007120E6" w:rsidRDefault="00482A32" w:rsidP="00482A32">
      <w:pPr>
        <w:rPr>
          <w:rFonts w:cs="Arial"/>
        </w:rPr>
      </w:pPr>
    </w:p>
    <w:p w14:paraId="6E2EC511" w14:textId="35043F8F" w:rsidR="00482A32" w:rsidRPr="007120E6" w:rsidRDefault="00BA55A1" w:rsidP="00482A32">
      <w:pPr>
        <w:rPr>
          <w:rFonts w:cs="Arial"/>
        </w:rPr>
      </w:pPr>
      <w:r w:rsidRPr="00A30C27">
        <w:rPr>
          <w:rFonts w:cs="Arial"/>
          <w:lang w:val="sv-SE"/>
        </w:rPr>
        <w:t xml:space="preserve">”Resultaten är ett bevis på det fantastiska arbete som hela organisationen gör. Vi fortsätter fokusera på våra framtidsplaner för att hålla företagets framgångsrika kurs, och förbli </w:t>
      </w:r>
      <w:r w:rsidR="0067665A">
        <w:rPr>
          <w:rFonts w:cs="Arial"/>
          <w:lang w:val="sv-SE"/>
        </w:rPr>
        <w:t>referensen</w:t>
      </w:r>
      <w:r w:rsidR="0067665A" w:rsidRPr="00A30C27">
        <w:rPr>
          <w:rFonts w:cs="Arial"/>
          <w:lang w:val="sv-SE"/>
        </w:rPr>
        <w:t xml:space="preserve"> </w:t>
      </w:r>
      <w:r w:rsidRPr="00A30C27">
        <w:rPr>
          <w:rFonts w:cs="Arial"/>
          <w:lang w:val="sv-SE"/>
        </w:rPr>
        <w:t>inom färg- och ytbehandlings</w:t>
      </w:r>
      <w:r w:rsidR="0067665A">
        <w:rPr>
          <w:rFonts w:cs="Arial"/>
          <w:lang w:val="sv-SE"/>
        </w:rPr>
        <w:t>industrin</w:t>
      </w:r>
      <w:r w:rsidRPr="00A30C27">
        <w:rPr>
          <w:rFonts w:cs="Arial"/>
          <w:lang w:val="sv-SE"/>
        </w:rPr>
        <w:t xml:space="preserve">.” </w:t>
      </w:r>
    </w:p>
    <w:p w14:paraId="2918BE22" w14:textId="1F8CFF62" w:rsidR="00780111" w:rsidRPr="00A30C27" w:rsidRDefault="00780111" w:rsidP="00482A32">
      <w:pPr>
        <w:pStyle w:val="paragraph"/>
        <w:textAlignment w:val="baseline"/>
        <w:rPr>
          <w:rFonts w:ascii="Arial" w:hAnsi="Arial" w:cs="Arial"/>
          <w:b/>
          <w:sz w:val="20"/>
          <w:szCs w:val="20"/>
          <w:lang w:val="sv-SE"/>
        </w:rPr>
      </w:pPr>
    </w:p>
    <w:tbl>
      <w:tblPr>
        <w:tblStyle w:val="TableGrid"/>
        <w:tblW w:w="0" w:type="auto"/>
        <w:tblLook w:val="04A0" w:firstRow="1" w:lastRow="0" w:firstColumn="1" w:lastColumn="0" w:noHBand="0" w:noVBand="1"/>
      </w:tblPr>
      <w:tblGrid>
        <w:gridCol w:w="4106"/>
        <w:gridCol w:w="1134"/>
        <w:gridCol w:w="1070"/>
        <w:gridCol w:w="1344"/>
        <w:gridCol w:w="1345"/>
      </w:tblGrid>
      <w:tr w:rsidR="00780111" w:rsidRPr="007120E6" w14:paraId="60B53456" w14:textId="77777777" w:rsidTr="00BD4B0A">
        <w:tc>
          <w:tcPr>
            <w:tcW w:w="4106" w:type="dxa"/>
            <w:shd w:val="clear" w:color="auto" w:fill="1F497D" w:themeFill="text2"/>
          </w:tcPr>
          <w:p w14:paraId="3542DF64" w14:textId="1729C03F" w:rsidR="00780111" w:rsidRPr="007120E6" w:rsidRDefault="00780111" w:rsidP="00D55789">
            <w:pPr>
              <w:spacing w:before="20" w:line="240" w:lineRule="auto"/>
              <w:ind w:right="-351"/>
              <w:rPr>
                <w:rFonts w:cs="Arial"/>
                <w:b/>
                <w:color w:val="FFFFFF" w:themeColor="background1"/>
              </w:rPr>
            </w:pPr>
            <w:r>
              <w:rPr>
                <w:rFonts w:cs="Arial"/>
                <w:b/>
                <w:bCs/>
                <w:color w:val="FFFFFF" w:themeColor="background1"/>
                <w:lang w:val="en"/>
              </w:rPr>
              <w:t>AkzoNobel</w:t>
            </w:r>
            <w:r>
              <w:rPr>
                <w:rFonts w:cs="Arial"/>
                <w:color w:val="FFFFFF" w:themeColor="background1"/>
                <w:lang w:val="en"/>
              </w:rPr>
              <w:t xml:space="preserve"> </w:t>
            </w:r>
            <w:r w:rsidR="009D36C5">
              <w:rPr>
                <w:rFonts w:cs="Arial"/>
                <w:color w:val="FFFFFF" w:themeColor="background1"/>
                <w:lang w:val="en"/>
              </w:rPr>
              <w:t>MEUR</w:t>
            </w:r>
          </w:p>
        </w:tc>
        <w:tc>
          <w:tcPr>
            <w:tcW w:w="1134" w:type="dxa"/>
            <w:shd w:val="clear" w:color="auto" w:fill="1F497D" w:themeFill="text2"/>
          </w:tcPr>
          <w:p w14:paraId="6180CC47" w14:textId="510100F4" w:rsidR="00780111" w:rsidRPr="007120E6" w:rsidRDefault="00780111" w:rsidP="00D55789">
            <w:pPr>
              <w:spacing w:line="240" w:lineRule="auto"/>
              <w:ind w:right="-351"/>
              <w:rPr>
                <w:rFonts w:cs="Arial"/>
                <w:b/>
                <w:color w:val="FFFFFF" w:themeColor="background1"/>
              </w:rPr>
            </w:pPr>
            <w:r>
              <w:rPr>
                <w:rFonts w:cs="Arial"/>
                <w:b/>
                <w:bCs/>
                <w:color w:val="FFFFFF" w:themeColor="background1"/>
                <w:lang w:val="en"/>
              </w:rPr>
              <w:t>Q3 2018</w:t>
            </w:r>
          </w:p>
        </w:tc>
        <w:tc>
          <w:tcPr>
            <w:tcW w:w="1070" w:type="dxa"/>
            <w:shd w:val="clear" w:color="auto" w:fill="1F497D" w:themeFill="text2"/>
          </w:tcPr>
          <w:p w14:paraId="2529AE8A" w14:textId="2821E7A9" w:rsidR="00780111" w:rsidRPr="007120E6" w:rsidRDefault="00780111" w:rsidP="00D55789">
            <w:pPr>
              <w:spacing w:line="240" w:lineRule="auto"/>
              <w:ind w:right="-351"/>
              <w:rPr>
                <w:rFonts w:cs="Arial"/>
                <w:b/>
                <w:color w:val="FFFFFF" w:themeColor="background1"/>
              </w:rPr>
            </w:pPr>
            <w:r>
              <w:rPr>
                <w:rFonts w:cs="Arial"/>
                <w:b/>
                <w:bCs/>
                <w:color w:val="FFFFFF" w:themeColor="background1"/>
                <w:lang w:val="en"/>
              </w:rPr>
              <w:t>Q3 2019</w:t>
            </w:r>
          </w:p>
        </w:tc>
        <w:tc>
          <w:tcPr>
            <w:tcW w:w="1344" w:type="dxa"/>
            <w:shd w:val="clear" w:color="auto" w:fill="1F497D" w:themeFill="text2"/>
          </w:tcPr>
          <w:p w14:paraId="4B19A971" w14:textId="3AC45405" w:rsidR="00780111" w:rsidRPr="007120E6" w:rsidRDefault="00780111" w:rsidP="00D55789">
            <w:pPr>
              <w:spacing w:line="240" w:lineRule="auto"/>
              <w:ind w:right="-351"/>
              <w:rPr>
                <w:rFonts w:cs="Arial"/>
                <w:b/>
                <w:color w:val="FFFFFF" w:themeColor="background1"/>
              </w:rPr>
            </w:pPr>
            <w:r>
              <w:rPr>
                <w:rFonts w:cs="Arial"/>
                <w:b/>
                <w:bCs/>
                <w:color w:val="FFFFFF" w:themeColor="background1"/>
                <w:lang w:val="en"/>
              </w:rPr>
              <w:t>Δ %</w:t>
            </w:r>
          </w:p>
        </w:tc>
        <w:tc>
          <w:tcPr>
            <w:tcW w:w="1345" w:type="dxa"/>
            <w:shd w:val="clear" w:color="auto" w:fill="1F497D" w:themeFill="text2"/>
          </w:tcPr>
          <w:p w14:paraId="32862E91" w14:textId="7547963F" w:rsidR="00780111" w:rsidRPr="007120E6" w:rsidRDefault="00780111" w:rsidP="00D55789">
            <w:pPr>
              <w:spacing w:line="240" w:lineRule="auto"/>
              <w:ind w:right="-351"/>
              <w:rPr>
                <w:rFonts w:cs="Arial"/>
                <w:b/>
                <w:color w:val="FFFFFF" w:themeColor="background1"/>
                <w:vertAlign w:val="superscript"/>
              </w:rPr>
            </w:pPr>
            <w:r>
              <w:rPr>
                <w:rFonts w:cs="Arial"/>
                <w:b/>
                <w:bCs/>
                <w:color w:val="FFFFFF" w:themeColor="background1"/>
                <w:lang w:val="en"/>
              </w:rPr>
              <w:t>Δ % CC</w:t>
            </w:r>
            <w:r>
              <w:rPr>
                <w:rFonts w:cs="Arial"/>
                <w:b/>
                <w:bCs/>
                <w:color w:val="FFFFFF" w:themeColor="background1"/>
                <w:vertAlign w:val="superscript"/>
                <w:lang w:val="en"/>
              </w:rPr>
              <w:t>3</w:t>
            </w:r>
          </w:p>
        </w:tc>
      </w:tr>
      <w:tr w:rsidR="00780111" w:rsidRPr="007120E6" w14:paraId="00A8616C" w14:textId="77777777" w:rsidTr="00BD4B0A">
        <w:tc>
          <w:tcPr>
            <w:tcW w:w="4106" w:type="dxa"/>
          </w:tcPr>
          <w:p w14:paraId="22A5A1E8" w14:textId="3DBA44E0" w:rsidR="00780111" w:rsidRPr="007120E6" w:rsidRDefault="00780111" w:rsidP="00D55789">
            <w:pPr>
              <w:spacing w:line="240" w:lineRule="auto"/>
              <w:ind w:right="-351"/>
              <w:rPr>
                <w:rFonts w:cs="Arial"/>
              </w:rPr>
            </w:pPr>
            <w:r>
              <w:rPr>
                <w:rFonts w:cs="Arial"/>
                <w:lang w:val="en"/>
              </w:rPr>
              <w:t>Intäkter</w:t>
            </w:r>
          </w:p>
        </w:tc>
        <w:tc>
          <w:tcPr>
            <w:tcW w:w="1134" w:type="dxa"/>
          </w:tcPr>
          <w:p w14:paraId="474112E1" w14:textId="2EA893BE" w:rsidR="00780111" w:rsidRPr="007120E6" w:rsidRDefault="004B63BD" w:rsidP="00A12F22">
            <w:pPr>
              <w:spacing w:line="240" w:lineRule="auto"/>
              <w:ind w:right="-351"/>
              <w:rPr>
                <w:rFonts w:cs="Arial"/>
              </w:rPr>
            </w:pPr>
            <w:r>
              <w:rPr>
                <w:rFonts w:cs="Arial"/>
                <w:lang w:val="en"/>
              </w:rPr>
              <w:t>2 326</w:t>
            </w:r>
          </w:p>
        </w:tc>
        <w:tc>
          <w:tcPr>
            <w:tcW w:w="1070" w:type="dxa"/>
          </w:tcPr>
          <w:p w14:paraId="267E1429" w14:textId="172F9C8E" w:rsidR="00780111" w:rsidRPr="007120E6" w:rsidRDefault="004B63BD" w:rsidP="00A12F22">
            <w:pPr>
              <w:spacing w:line="240" w:lineRule="auto"/>
              <w:ind w:right="-351"/>
              <w:rPr>
                <w:rFonts w:cs="Arial"/>
              </w:rPr>
            </w:pPr>
            <w:r>
              <w:rPr>
                <w:rFonts w:cs="Arial"/>
                <w:lang w:val="en"/>
              </w:rPr>
              <w:t>2 398</w:t>
            </w:r>
          </w:p>
        </w:tc>
        <w:tc>
          <w:tcPr>
            <w:tcW w:w="1344" w:type="dxa"/>
          </w:tcPr>
          <w:p w14:paraId="4DD83B3D" w14:textId="4358DE67" w:rsidR="00780111" w:rsidRPr="007120E6" w:rsidRDefault="004B63BD" w:rsidP="00A12F22">
            <w:pPr>
              <w:spacing w:line="240" w:lineRule="auto"/>
              <w:ind w:right="-351"/>
              <w:rPr>
                <w:rFonts w:cs="Arial"/>
              </w:rPr>
            </w:pPr>
            <w:r>
              <w:rPr>
                <w:rFonts w:cs="Arial"/>
                <w:lang w:val="en"/>
              </w:rPr>
              <w:t>3 %</w:t>
            </w:r>
          </w:p>
        </w:tc>
        <w:tc>
          <w:tcPr>
            <w:tcW w:w="1345" w:type="dxa"/>
          </w:tcPr>
          <w:p w14:paraId="7B6584E6" w14:textId="555BB2BB" w:rsidR="00780111" w:rsidRPr="007120E6" w:rsidRDefault="004B63BD" w:rsidP="00A12F22">
            <w:pPr>
              <w:spacing w:line="240" w:lineRule="auto"/>
              <w:ind w:right="-351"/>
              <w:rPr>
                <w:rFonts w:cs="Arial"/>
              </w:rPr>
            </w:pPr>
            <w:r>
              <w:rPr>
                <w:rFonts w:cs="Arial"/>
                <w:lang w:val="en"/>
              </w:rPr>
              <w:t>2 %</w:t>
            </w:r>
          </w:p>
        </w:tc>
      </w:tr>
      <w:tr w:rsidR="00E45E82" w:rsidRPr="007120E6" w14:paraId="54E5EFF0" w14:textId="77777777" w:rsidTr="00BD4B0A">
        <w:tc>
          <w:tcPr>
            <w:tcW w:w="4106" w:type="dxa"/>
          </w:tcPr>
          <w:p w14:paraId="634FDA99" w14:textId="6D64341B" w:rsidR="00E45E82" w:rsidRPr="007120E6" w:rsidRDefault="00E45E82" w:rsidP="00E45E82">
            <w:pPr>
              <w:spacing w:line="260" w:lineRule="exact"/>
              <w:ind w:right="-351"/>
              <w:rPr>
                <w:rFonts w:cs="Arial"/>
              </w:rPr>
            </w:pPr>
            <w:r>
              <w:rPr>
                <w:rFonts w:cs="Arial"/>
                <w:lang w:val="en"/>
              </w:rPr>
              <w:t>Justerat rörelseresultat</w:t>
            </w:r>
            <w:r>
              <w:rPr>
                <w:rFonts w:cs="Arial"/>
                <w:vertAlign w:val="superscript"/>
                <w:lang w:val="en"/>
              </w:rPr>
              <w:t>1</w:t>
            </w:r>
          </w:p>
        </w:tc>
        <w:tc>
          <w:tcPr>
            <w:tcW w:w="1134" w:type="dxa"/>
          </w:tcPr>
          <w:p w14:paraId="09821DFD" w14:textId="0C03DAB7" w:rsidR="00E45E82" w:rsidRPr="007120E6" w:rsidRDefault="004B63BD" w:rsidP="00E45E82">
            <w:pPr>
              <w:spacing w:line="240" w:lineRule="auto"/>
              <w:ind w:right="-351"/>
              <w:rPr>
                <w:rFonts w:cs="Arial"/>
              </w:rPr>
            </w:pPr>
            <w:r>
              <w:rPr>
                <w:rFonts w:cs="Arial"/>
                <w:lang w:val="en"/>
              </w:rPr>
              <w:t>243</w:t>
            </w:r>
          </w:p>
        </w:tc>
        <w:tc>
          <w:tcPr>
            <w:tcW w:w="1070" w:type="dxa"/>
          </w:tcPr>
          <w:p w14:paraId="5FC536CB" w14:textId="72DA4743" w:rsidR="00E45E82" w:rsidRPr="007120E6" w:rsidRDefault="004B63BD" w:rsidP="00E45E82">
            <w:pPr>
              <w:spacing w:line="240" w:lineRule="auto"/>
              <w:ind w:right="-351"/>
              <w:rPr>
                <w:rFonts w:cs="Arial"/>
              </w:rPr>
            </w:pPr>
            <w:r>
              <w:rPr>
                <w:rFonts w:cs="Arial"/>
                <w:lang w:val="en"/>
              </w:rPr>
              <w:t>300</w:t>
            </w:r>
          </w:p>
        </w:tc>
        <w:tc>
          <w:tcPr>
            <w:tcW w:w="1344" w:type="dxa"/>
            <w:shd w:val="clear" w:color="auto" w:fill="FFFFFF" w:themeFill="background1"/>
          </w:tcPr>
          <w:p w14:paraId="2BD3F951" w14:textId="5A14C0DA" w:rsidR="00E45E82" w:rsidRPr="007120E6" w:rsidRDefault="004B63BD" w:rsidP="00E45E82">
            <w:pPr>
              <w:spacing w:line="240" w:lineRule="auto"/>
              <w:ind w:right="-351"/>
              <w:rPr>
                <w:rFonts w:cs="Arial"/>
              </w:rPr>
            </w:pPr>
            <w:r>
              <w:rPr>
                <w:rFonts w:cs="Arial"/>
                <w:lang w:val="en"/>
              </w:rPr>
              <w:t>23 %</w:t>
            </w:r>
          </w:p>
        </w:tc>
        <w:tc>
          <w:tcPr>
            <w:tcW w:w="1345" w:type="dxa"/>
            <w:shd w:val="clear" w:color="auto" w:fill="DDD9C3" w:themeFill="background2" w:themeFillShade="E6"/>
          </w:tcPr>
          <w:p w14:paraId="7E105DA8" w14:textId="77777777" w:rsidR="00E45E82" w:rsidRPr="007120E6" w:rsidRDefault="00E45E82" w:rsidP="00E45E82">
            <w:pPr>
              <w:spacing w:line="240" w:lineRule="auto"/>
              <w:ind w:right="-351"/>
              <w:rPr>
                <w:rFonts w:cs="Arial"/>
              </w:rPr>
            </w:pPr>
          </w:p>
        </w:tc>
      </w:tr>
      <w:tr w:rsidR="00A50BA3" w:rsidRPr="007120E6" w14:paraId="191DB6EF" w14:textId="77777777" w:rsidTr="00BD4B0A">
        <w:tc>
          <w:tcPr>
            <w:tcW w:w="4106" w:type="dxa"/>
          </w:tcPr>
          <w:p w14:paraId="385F464F" w14:textId="230014B4" w:rsidR="00A50BA3" w:rsidRPr="007120E6" w:rsidRDefault="00A50BA3" w:rsidP="00A50BA3">
            <w:pPr>
              <w:spacing w:line="260" w:lineRule="exact"/>
              <w:ind w:right="-351"/>
              <w:rPr>
                <w:rFonts w:cs="Arial"/>
              </w:rPr>
            </w:pPr>
            <w:r>
              <w:rPr>
                <w:rFonts w:cs="Arial"/>
                <w:lang w:val="en"/>
              </w:rPr>
              <w:t>ROS</w:t>
            </w:r>
          </w:p>
        </w:tc>
        <w:tc>
          <w:tcPr>
            <w:tcW w:w="1134" w:type="dxa"/>
          </w:tcPr>
          <w:p w14:paraId="3A1912B3" w14:textId="02CAC564" w:rsidR="00A50BA3" w:rsidRPr="007120E6" w:rsidRDefault="004B63BD" w:rsidP="00A50BA3">
            <w:pPr>
              <w:spacing w:line="240" w:lineRule="auto"/>
              <w:ind w:right="-351"/>
              <w:rPr>
                <w:rFonts w:cs="Arial"/>
              </w:rPr>
            </w:pPr>
            <w:r>
              <w:rPr>
                <w:rFonts w:cs="Arial"/>
                <w:lang w:val="en"/>
              </w:rPr>
              <w:t>10,4 %</w:t>
            </w:r>
          </w:p>
        </w:tc>
        <w:tc>
          <w:tcPr>
            <w:tcW w:w="1070" w:type="dxa"/>
          </w:tcPr>
          <w:p w14:paraId="6EEF3A3C" w14:textId="72611D53" w:rsidR="00A50BA3" w:rsidRPr="007120E6" w:rsidRDefault="004B63BD" w:rsidP="00A50BA3">
            <w:pPr>
              <w:spacing w:line="240" w:lineRule="auto"/>
              <w:ind w:right="-351"/>
              <w:rPr>
                <w:rFonts w:cs="Arial"/>
              </w:rPr>
            </w:pPr>
            <w:r>
              <w:rPr>
                <w:rFonts w:cs="Arial"/>
                <w:lang w:val="en"/>
              </w:rPr>
              <w:t>12,5 %</w:t>
            </w:r>
          </w:p>
        </w:tc>
        <w:tc>
          <w:tcPr>
            <w:tcW w:w="1344" w:type="dxa"/>
            <w:shd w:val="clear" w:color="auto" w:fill="DDD9C3" w:themeFill="background2" w:themeFillShade="E6"/>
          </w:tcPr>
          <w:p w14:paraId="6A9A0E80" w14:textId="77777777" w:rsidR="00A50BA3" w:rsidRPr="007120E6" w:rsidRDefault="00A50BA3" w:rsidP="00A50BA3">
            <w:pPr>
              <w:spacing w:line="240" w:lineRule="auto"/>
              <w:ind w:right="-351"/>
              <w:rPr>
                <w:rFonts w:cs="Arial"/>
              </w:rPr>
            </w:pPr>
          </w:p>
        </w:tc>
        <w:tc>
          <w:tcPr>
            <w:tcW w:w="1345" w:type="dxa"/>
            <w:shd w:val="clear" w:color="auto" w:fill="DDD9C3" w:themeFill="background2" w:themeFillShade="E6"/>
          </w:tcPr>
          <w:p w14:paraId="332B2456" w14:textId="77777777" w:rsidR="00A50BA3" w:rsidRPr="007120E6" w:rsidRDefault="00A50BA3" w:rsidP="00A50BA3">
            <w:pPr>
              <w:spacing w:line="240" w:lineRule="auto"/>
              <w:ind w:right="-351"/>
              <w:rPr>
                <w:rFonts w:cs="Arial"/>
              </w:rPr>
            </w:pPr>
          </w:p>
        </w:tc>
      </w:tr>
      <w:tr w:rsidR="004D23BA" w:rsidRPr="007120E6" w14:paraId="14F48ED7" w14:textId="77777777" w:rsidTr="00BD4B0A">
        <w:tc>
          <w:tcPr>
            <w:tcW w:w="4106" w:type="dxa"/>
          </w:tcPr>
          <w:p w14:paraId="6A424D21" w14:textId="382FDF61" w:rsidR="004D23BA" w:rsidRPr="00A30C27" w:rsidRDefault="004D23BA" w:rsidP="004D23BA">
            <w:pPr>
              <w:spacing w:line="260" w:lineRule="exact"/>
              <w:ind w:right="-351"/>
              <w:rPr>
                <w:rFonts w:cs="Arial"/>
                <w:lang w:val="sv-SE"/>
              </w:rPr>
            </w:pPr>
            <w:r w:rsidRPr="00A30C27">
              <w:rPr>
                <w:rFonts w:cs="Arial"/>
                <w:lang w:val="sv-SE"/>
              </w:rPr>
              <w:t>ROS exklusive icke-fördelade kostnader</w:t>
            </w:r>
            <w:r w:rsidRPr="00A30C27">
              <w:rPr>
                <w:rFonts w:cs="Arial"/>
                <w:vertAlign w:val="superscript"/>
                <w:lang w:val="sv-SE"/>
              </w:rPr>
              <w:t>2</w:t>
            </w:r>
          </w:p>
        </w:tc>
        <w:tc>
          <w:tcPr>
            <w:tcW w:w="1134" w:type="dxa"/>
          </w:tcPr>
          <w:p w14:paraId="0C95E4C0" w14:textId="339329BE" w:rsidR="004D23BA" w:rsidRPr="007120E6" w:rsidRDefault="004B63BD" w:rsidP="004D23BA">
            <w:pPr>
              <w:spacing w:line="240" w:lineRule="auto"/>
              <w:ind w:right="-351"/>
              <w:rPr>
                <w:rFonts w:cs="Arial"/>
              </w:rPr>
            </w:pPr>
            <w:r>
              <w:rPr>
                <w:rFonts w:cs="Arial"/>
                <w:lang w:val="en"/>
              </w:rPr>
              <w:t>12,3 %</w:t>
            </w:r>
          </w:p>
        </w:tc>
        <w:tc>
          <w:tcPr>
            <w:tcW w:w="1070" w:type="dxa"/>
          </w:tcPr>
          <w:p w14:paraId="6D755398" w14:textId="20CCE418" w:rsidR="004D23BA" w:rsidRPr="007120E6" w:rsidRDefault="004B63BD" w:rsidP="004D23BA">
            <w:pPr>
              <w:spacing w:line="240" w:lineRule="auto"/>
              <w:ind w:right="-351"/>
              <w:rPr>
                <w:rFonts w:cs="Arial"/>
              </w:rPr>
            </w:pPr>
            <w:r>
              <w:rPr>
                <w:rFonts w:cs="Arial"/>
                <w:lang w:val="en"/>
              </w:rPr>
              <w:t>13,8 %</w:t>
            </w:r>
          </w:p>
        </w:tc>
        <w:tc>
          <w:tcPr>
            <w:tcW w:w="1344" w:type="dxa"/>
            <w:shd w:val="clear" w:color="auto" w:fill="DDD9C3" w:themeFill="background2" w:themeFillShade="E6"/>
          </w:tcPr>
          <w:p w14:paraId="4914D0C0" w14:textId="77777777" w:rsidR="004D23BA" w:rsidRPr="007120E6" w:rsidRDefault="004D23BA" w:rsidP="004D23BA">
            <w:pPr>
              <w:spacing w:line="240" w:lineRule="auto"/>
              <w:ind w:right="-351"/>
              <w:rPr>
                <w:rFonts w:cs="Arial"/>
              </w:rPr>
            </w:pPr>
          </w:p>
        </w:tc>
        <w:tc>
          <w:tcPr>
            <w:tcW w:w="1345" w:type="dxa"/>
            <w:shd w:val="clear" w:color="auto" w:fill="DDD9C3" w:themeFill="background2" w:themeFillShade="E6"/>
          </w:tcPr>
          <w:p w14:paraId="3E992A32" w14:textId="77777777" w:rsidR="004D23BA" w:rsidRPr="007120E6" w:rsidRDefault="004D23BA" w:rsidP="004D23BA">
            <w:pPr>
              <w:spacing w:line="240" w:lineRule="auto"/>
              <w:ind w:right="-351"/>
              <w:rPr>
                <w:rFonts w:cs="Arial"/>
              </w:rPr>
            </w:pPr>
          </w:p>
        </w:tc>
      </w:tr>
      <w:tr w:rsidR="00CE75FA" w:rsidRPr="007120E6" w14:paraId="77428272" w14:textId="77777777" w:rsidTr="00BD4B0A">
        <w:tc>
          <w:tcPr>
            <w:tcW w:w="4106" w:type="dxa"/>
          </w:tcPr>
          <w:p w14:paraId="4ADB4570" w14:textId="634B33D2" w:rsidR="00CE75FA" w:rsidRPr="007120E6" w:rsidRDefault="00CE75FA" w:rsidP="00CE75FA">
            <w:pPr>
              <w:spacing w:line="260" w:lineRule="exact"/>
              <w:ind w:right="-351"/>
              <w:rPr>
                <w:rFonts w:cs="Arial"/>
              </w:rPr>
            </w:pPr>
            <w:r>
              <w:rPr>
                <w:rFonts w:cs="Arial"/>
                <w:lang w:val="en"/>
              </w:rPr>
              <w:t>Rörelseresultat</w:t>
            </w:r>
          </w:p>
        </w:tc>
        <w:tc>
          <w:tcPr>
            <w:tcW w:w="1134" w:type="dxa"/>
          </w:tcPr>
          <w:p w14:paraId="5903C5CF" w14:textId="577566D5" w:rsidR="00CE75FA" w:rsidRPr="007120E6" w:rsidRDefault="004B63BD" w:rsidP="00CE75FA">
            <w:pPr>
              <w:spacing w:line="240" w:lineRule="auto"/>
              <w:ind w:right="-351"/>
              <w:rPr>
                <w:rFonts w:cs="Arial"/>
              </w:rPr>
            </w:pPr>
            <w:r>
              <w:rPr>
                <w:rFonts w:cs="Arial"/>
                <w:lang w:val="en"/>
              </w:rPr>
              <w:t>237</w:t>
            </w:r>
          </w:p>
        </w:tc>
        <w:tc>
          <w:tcPr>
            <w:tcW w:w="1070" w:type="dxa"/>
          </w:tcPr>
          <w:p w14:paraId="00C8742A" w14:textId="63700DE1" w:rsidR="00CE75FA" w:rsidRPr="007120E6" w:rsidRDefault="004B63BD" w:rsidP="00CE75FA">
            <w:pPr>
              <w:spacing w:line="240" w:lineRule="auto"/>
              <w:ind w:right="-351"/>
              <w:rPr>
                <w:rFonts w:cs="Arial"/>
              </w:rPr>
            </w:pPr>
            <w:r>
              <w:rPr>
                <w:rFonts w:cs="Arial"/>
                <w:lang w:val="en"/>
              </w:rPr>
              <w:t>247</w:t>
            </w:r>
          </w:p>
        </w:tc>
        <w:tc>
          <w:tcPr>
            <w:tcW w:w="1344" w:type="dxa"/>
            <w:shd w:val="clear" w:color="auto" w:fill="FFFFFF" w:themeFill="background1"/>
          </w:tcPr>
          <w:p w14:paraId="251D1A32" w14:textId="6970C486" w:rsidR="00CE75FA" w:rsidRPr="007120E6" w:rsidRDefault="004B63BD" w:rsidP="00CE75FA">
            <w:pPr>
              <w:spacing w:line="240" w:lineRule="auto"/>
              <w:ind w:right="-351"/>
              <w:rPr>
                <w:rFonts w:cs="Arial"/>
              </w:rPr>
            </w:pPr>
            <w:r>
              <w:rPr>
                <w:rFonts w:cs="Arial"/>
                <w:lang w:val="en"/>
              </w:rPr>
              <w:t>4 %</w:t>
            </w:r>
          </w:p>
        </w:tc>
        <w:tc>
          <w:tcPr>
            <w:tcW w:w="1345" w:type="dxa"/>
            <w:shd w:val="clear" w:color="auto" w:fill="DDD9C3" w:themeFill="background2" w:themeFillShade="E6"/>
          </w:tcPr>
          <w:p w14:paraId="6882A6B6" w14:textId="77777777" w:rsidR="00CE75FA" w:rsidRPr="007120E6" w:rsidRDefault="00CE75FA" w:rsidP="00CE75FA">
            <w:pPr>
              <w:spacing w:line="240" w:lineRule="auto"/>
              <w:ind w:right="-351"/>
              <w:rPr>
                <w:rFonts w:cs="Arial"/>
              </w:rPr>
            </w:pPr>
          </w:p>
        </w:tc>
      </w:tr>
    </w:tbl>
    <w:p w14:paraId="5AF3BD16" w14:textId="435437D5" w:rsidR="00B370B2" w:rsidRPr="007120E6" w:rsidRDefault="00B370B2" w:rsidP="000524E8">
      <w:pPr>
        <w:pStyle w:val="paragraph"/>
        <w:textAlignment w:val="baseline"/>
        <w:rPr>
          <w:rStyle w:val="normaltextrun1"/>
          <w:rFonts w:ascii="Arial" w:hAnsi="Arial" w:cs="Arial"/>
          <w:sz w:val="20"/>
          <w:szCs w:val="22"/>
        </w:rPr>
      </w:pPr>
    </w:p>
    <w:p w14:paraId="7AAF2884" w14:textId="5A0C470C" w:rsidR="004B63BD" w:rsidRPr="007120E6" w:rsidRDefault="004B63BD" w:rsidP="000524E8">
      <w:pPr>
        <w:pStyle w:val="paragraph"/>
        <w:textAlignment w:val="baseline"/>
        <w:rPr>
          <w:rStyle w:val="normaltextrun1"/>
          <w:rFonts w:ascii="Arial" w:hAnsi="Arial" w:cs="Arial"/>
          <w:b/>
          <w:sz w:val="20"/>
          <w:szCs w:val="22"/>
        </w:rPr>
      </w:pPr>
    </w:p>
    <w:p w14:paraId="240E6A88" w14:textId="77777777" w:rsidR="007762C9" w:rsidRPr="007120E6" w:rsidRDefault="007762C9" w:rsidP="000524E8">
      <w:pPr>
        <w:pStyle w:val="paragraph"/>
        <w:textAlignment w:val="baseline"/>
        <w:rPr>
          <w:rStyle w:val="normaltextrun1"/>
          <w:rFonts w:ascii="Arial" w:hAnsi="Arial" w:cs="Arial"/>
          <w:b/>
          <w:sz w:val="20"/>
          <w:szCs w:val="22"/>
        </w:rPr>
      </w:pPr>
    </w:p>
    <w:p w14:paraId="424ED3A5" w14:textId="77777777" w:rsidR="00CE02EA" w:rsidRPr="007120E6" w:rsidRDefault="00CE02EA" w:rsidP="000524E8">
      <w:pPr>
        <w:pStyle w:val="paragraph"/>
        <w:textAlignment w:val="baseline"/>
        <w:rPr>
          <w:rStyle w:val="normaltextrun1"/>
          <w:rFonts w:ascii="Arial" w:hAnsi="Arial" w:cs="Arial"/>
          <w:b/>
          <w:sz w:val="20"/>
          <w:szCs w:val="22"/>
        </w:rPr>
      </w:pPr>
    </w:p>
    <w:p w14:paraId="17DC57A3" w14:textId="33C98D32" w:rsidR="007120E6" w:rsidRPr="007120E6" w:rsidRDefault="009D5C0B" w:rsidP="007120E6">
      <w:pPr>
        <w:rPr>
          <w:rFonts w:cs="Arial"/>
          <w:b/>
          <w:bCs/>
        </w:rPr>
      </w:pPr>
      <w:r w:rsidRPr="00A30C27">
        <w:rPr>
          <w:rStyle w:val="normaltextrun1"/>
          <w:rFonts w:cs="Arial"/>
          <w:b/>
          <w:bCs/>
          <w:lang w:val="sv-SE"/>
        </w:rPr>
        <w:t xml:space="preserve">Aktuella höjdpunkter: Vårt </w:t>
      </w:r>
      <w:r w:rsidRPr="00A30C27">
        <w:rPr>
          <w:rFonts w:cs="Arial"/>
          <w:b/>
          <w:bCs/>
          <w:lang w:val="sv-SE"/>
        </w:rPr>
        <w:t>fokus på innovation och hållbarhet</w:t>
      </w:r>
    </w:p>
    <w:p w14:paraId="047342FB" w14:textId="63F3431C" w:rsidR="0058447D" w:rsidRPr="00A30C27" w:rsidRDefault="0058447D" w:rsidP="000524E8">
      <w:pPr>
        <w:pStyle w:val="paragraph"/>
        <w:textAlignment w:val="baseline"/>
        <w:rPr>
          <w:rStyle w:val="normaltextrun1"/>
          <w:rFonts w:ascii="Arial" w:hAnsi="Arial" w:cs="Arial"/>
          <w:b/>
          <w:sz w:val="20"/>
          <w:szCs w:val="22"/>
          <w:lang w:val="sv-SE"/>
        </w:rPr>
      </w:pPr>
    </w:p>
    <w:p w14:paraId="5DC770E9" w14:textId="37C0E7A9" w:rsidR="00172E23" w:rsidRPr="007120E6" w:rsidRDefault="00172E23" w:rsidP="00172E23">
      <w:pPr>
        <w:rPr>
          <w:rFonts w:cs="Arial"/>
          <w:b/>
          <w:bCs/>
          <w:szCs w:val="20"/>
        </w:rPr>
      </w:pPr>
      <w:bookmarkStart w:id="6" w:name="_Hlk22549172"/>
      <w:r w:rsidRPr="00BD4B0A">
        <w:rPr>
          <w:rFonts w:cs="Arial"/>
          <w:b/>
          <w:bCs/>
          <w:szCs w:val="20"/>
          <w:lang w:val="sv-SE"/>
        </w:rPr>
        <w:t xml:space="preserve">Dagen gryr med Årets </w:t>
      </w:r>
      <w:r w:rsidR="0067665A">
        <w:rPr>
          <w:rFonts w:cs="Arial"/>
          <w:b/>
          <w:bCs/>
          <w:szCs w:val="20"/>
          <w:lang w:val="sv-SE"/>
        </w:rPr>
        <w:t>kulör</w:t>
      </w:r>
      <w:r w:rsidR="0067665A" w:rsidRPr="00BD4B0A">
        <w:rPr>
          <w:rFonts w:cs="Arial"/>
          <w:b/>
          <w:bCs/>
          <w:szCs w:val="20"/>
          <w:lang w:val="sv-SE"/>
        </w:rPr>
        <w:t xml:space="preserve"> </w:t>
      </w:r>
      <w:r w:rsidRPr="00BD4B0A">
        <w:rPr>
          <w:rFonts w:cs="Arial"/>
          <w:b/>
          <w:bCs/>
          <w:szCs w:val="20"/>
          <w:lang w:val="sv-SE"/>
        </w:rPr>
        <w:t>2020</w:t>
      </w:r>
    </w:p>
    <w:p w14:paraId="47437B27" w14:textId="451F226A" w:rsidR="00172E23" w:rsidRPr="007120E6" w:rsidRDefault="00BA55A1" w:rsidP="00172E23">
      <w:pPr>
        <w:rPr>
          <w:rFonts w:cs="Arial"/>
          <w:szCs w:val="20"/>
        </w:rPr>
      </w:pPr>
      <w:r w:rsidRPr="00BD4B0A">
        <w:rPr>
          <w:rFonts w:cs="Arial"/>
          <w:szCs w:val="20"/>
          <w:lang w:val="sv-SE"/>
        </w:rPr>
        <w:t xml:space="preserve">Årets </w:t>
      </w:r>
      <w:r w:rsidR="0067665A">
        <w:rPr>
          <w:rFonts w:cs="Arial"/>
          <w:szCs w:val="20"/>
          <w:lang w:val="sv-SE"/>
        </w:rPr>
        <w:t>kulör</w:t>
      </w:r>
      <w:r w:rsidR="0067665A" w:rsidRPr="00BD4B0A">
        <w:rPr>
          <w:rFonts w:cs="Arial"/>
          <w:szCs w:val="20"/>
          <w:lang w:val="sv-SE"/>
        </w:rPr>
        <w:t xml:space="preserve"> </w:t>
      </w:r>
      <w:r w:rsidRPr="00BD4B0A">
        <w:rPr>
          <w:rFonts w:cs="Arial"/>
          <w:szCs w:val="20"/>
          <w:lang w:val="sv-SE"/>
        </w:rPr>
        <w:t xml:space="preserve">2020 är </w:t>
      </w:r>
      <w:proofErr w:type="spellStart"/>
      <w:r w:rsidRPr="00BD4B0A">
        <w:rPr>
          <w:rFonts w:cs="Arial"/>
          <w:szCs w:val="20"/>
          <w:lang w:val="sv-SE"/>
        </w:rPr>
        <w:t>Tranquil</w:t>
      </w:r>
      <w:proofErr w:type="spellEnd"/>
      <w:r w:rsidRPr="00BD4B0A">
        <w:rPr>
          <w:rFonts w:cs="Arial"/>
          <w:szCs w:val="20"/>
          <w:lang w:val="sv-SE"/>
        </w:rPr>
        <w:t xml:space="preserve"> Dawn, som även ingår i alla fyra </w:t>
      </w:r>
      <w:proofErr w:type="spellStart"/>
      <w:r w:rsidRPr="00BD4B0A">
        <w:rPr>
          <w:rFonts w:cs="Arial"/>
          <w:szCs w:val="20"/>
          <w:lang w:val="sv-SE"/>
        </w:rPr>
        <w:t>ColourFutures</w:t>
      </w:r>
      <w:proofErr w:type="spellEnd"/>
      <w:r w:rsidRPr="00BD4B0A">
        <w:rPr>
          <w:rFonts w:cs="Arial"/>
          <w:szCs w:val="20"/>
          <w:lang w:val="sv-SE"/>
        </w:rPr>
        <w:t xml:space="preserve"> 2020-</w:t>
      </w:r>
      <w:r w:rsidR="0067665A">
        <w:rPr>
          <w:rFonts w:cs="Arial"/>
          <w:szCs w:val="20"/>
          <w:lang w:val="sv-SE"/>
        </w:rPr>
        <w:t>kulör</w:t>
      </w:r>
      <w:r w:rsidRPr="00BD4B0A">
        <w:rPr>
          <w:rFonts w:cs="Arial"/>
          <w:szCs w:val="20"/>
          <w:lang w:val="sv-SE"/>
        </w:rPr>
        <w:t xml:space="preserve">paletter. De är designade att stärka och inspirera kunder och göra det enklare att välja </w:t>
      </w:r>
      <w:r w:rsidR="0067665A">
        <w:rPr>
          <w:rFonts w:cs="Arial"/>
          <w:szCs w:val="20"/>
          <w:lang w:val="sv-SE"/>
        </w:rPr>
        <w:t>kulör</w:t>
      </w:r>
      <w:r w:rsidRPr="00BD4B0A">
        <w:rPr>
          <w:rFonts w:cs="Arial"/>
          <w:szCs w:val="20"/>
          <w:lang w:val="sv-SE"/>
        </w:rPr>
        <w:t>.  </w:t>
      </w:r>
    </w:p>
    <w:p w14:paraId="02D85F36" w14:textId="77777777" w:rsidR="00172E23" w:rsidRPr="007120E6" w:rsidRDefault="00172E23" w:rsidP="00172E23">
      <w:pPr>
        <w:rPr>
          <w:rFonts w:cs="Arial"/>
          <w:szCs w:val="20"/>
        </w:rPr>
      </w:pPr>
    </w:p>
    <w:p w14:paraId="2C4EEB41" w14:textId="1C17640F" w:rsidR="00172E23" w:rsidRPr="00BD4B0A" w:rsidRDefault="002170B6" w:rsidP="00172E23">
      <w:pPr>
        <w:pStyle w:val="PlainText"/>
        <w:rPr>
          <w:b/>
          <w:bCs/>
          <w:sz w:val="20"/>
          <w:szCs w:val="20"/>
          <w:lang w:val="sv-SE"/>
        </w:rPr>
      </w:pPr>
      <w:r w:rsidRPr="00BD4B0A">
        <w:rPr>
          <w:b/>
          <w:bCs/>
          <w:sz w:val="20"/>
          <w:szCs w:val="20"/>
          <w:lang w:val="sv-SE"/>
        </w:rPr>
        <w:t>Återvunnen färg lanserad för att sluta avfallskrets</w:t>
      </w:r>
      <w:r w:rsidR="00BC1267">
        <w:rPr>
          <w:b/>
          <w:bCs/>
          <w:sz w:val="20"/>
          <w:szCs w:val="20"/>
          <w:lang w:val="sv-SE"/>
        </w:rPr>
        <w:t>loppet</w:t>
      </w:r>
    </w:p>
    <w:p w14:paraId="6AA3E5D1" w14:textId="56B394E0" w:rsidR="00172E23" w:rsidRPr="00BD4B0A" w:rsidRDefault="00172E23" w:rsidP="00172E23">
      <w:pPr>
        <w:pStyle w:val="PlainText"/>
        <w:rPr>
          <w:sz w:val="20"/>
          <w:szCs w:val="20"/>
          <w:lang w:val="sv-SE"/>
        </w:rPr>
      </w:pPr>
      <w:r w:rsidRPr="00BD4B0A">
        <w:rPr>
          <w:sz w:val="20"/>
          <w:szCs w:val="20"/>
          <w:lang w:val="sv-SE"/>
        </w:rPr>
        <w:t xml:space="preserve">AkzoNobel har blivit den första stora producenten att lansera återvunnen färg, tack vare ett banbrytande partnerskap i Storbritannien med </w:t>
      </w:r>
      <w:r w:rsidR="00C94057">
        <w:rPr>
          <w:sz w:val="20"/>
          <w:szCs w:val="20"/>
          <w:lang w:val="sv-SE"/>
        </w:rPr>
        <w:t>avfallshantering</w:t>
      </w:r>
      <w:r w:rsidR="00C94057" w:rsidRPr="00BD4B0A">
        <w:rPr>
          <w:sz w:val="20"/>
          <w:szCs w:val="20"/>
          <w:lang w:val="sv-SE"/>
        </w:rPr>
        <w:t xml:space="preserve">sexperten </w:t>
      </w:r>
      <w:r w:rsidRPr="00BD4B0A">
        <w:rPr>
          <w:sz w:val="20"/>
          <w:szCs w:val="20"/>
          <w:lang w:val="sv-SE"/>
        </w:rPr>
        <w:t xml:space="preserve">Veolia. Den revolutionerande emulsionsfärgen </w:t>
      </w:r>
      <w:proofErr w:type="spellStart"/>
      <w:r w:rsidRPr="00BD4B0A">
        <w:rPr>
          <w:sz w:val="20"/>
          <w:szCs w:val="20"/>
          <w:lang w:val="sv-SE"/>
        </w:rPr>
        <w:t>Evolve</w:t>
      </w:r>
      <w:proofErr w:type="spellEnd"/>
      <w:r w:rsidRPr="00BD4B0A">
        <w:rPr>
          <w:sz w:val="20"/>
          <w:szCs w:val="20"/>
          <w:lang w:val="sv-SE"/>
        </w:rPr>
        <w:t xml:space="preserve">, matt vit, innehåller 35 % återvunnen färg och har </w:t>
      </w:r>
      <w:r w:rsidR="00C94057">
        <w:rPr>
          <w:sz w:val="20"/>
          <w:szCs w:val="20"/>
          <w:lang w:val="sv-SE"/>
        </w:rPr>
        <w:t>utvecklats</w:t>
      </w:r>
      <w:r w:rsidRPr="00BD4B0A">
        <w:rPr>
          <w:sz w:val="20"/>
          <w:szCs w:val="20"/>
          <w:lang w:val="sv-SE"/>
        </w:rPr>
        <w:t xml:space="preserve"> och testats för att uppfylla samma höga standarder som förväntas från </w:t>
      </w:r>
      <w:proofErr w:type="spellStart"/>
      <w:r w:rsidRPr="00BD4B0A">
        <w:rPr>
          <w:sz w:val="20"/>
          <w:szCs w:val="20"/>
          <w:lang w:val="sv-SE"/>
        </w:rPr>
        <w:t>Dulux</w:t>
      </w:r>
      <w:proofErr w:type="spellEnd"/>
      <w:r w:rsidRPr="00BD4B0A">
        <w:rPr>
          <w:sz w:val="20"/>
          <w:szCs w:val="20"/>
          <w:lang w:val="sv-SE"/>
        </w:rPr>
        <w:t xml:space="preserve"> </w:t>
      </w:r>
      <w:proofErr w:type="spellStart"/>
      <w:r w:rsidRPr="00BD4B0A">
        <w:rPr>
          <w:sz w:val="20"/>
          <w:szCs w:val="20"/>
          <w:lang w:val="sv-SE"/>
        </w:rPr>
        <w:t>Trade</w:t>
      </w:r>
      <w:proofErr w:type="spellEnd"/>
      <w:r w:rsidRPr="00BD4B0A">
        <w:rPr>
          <w:sz w:val="20"/>
          <w:szCs w:val="20"/>
          <w:lang w:val="sv-SE"/>
        </w:rPr>
        <w:t>.</w:t>
      </w:r>
    </w:p>
    <w:p w14:paraId="37A196C6" w14:textId="77777777" w:rsidR="00172E23" w:rsidRPr="007120E6" w:rsidRDefault="00172E23" w:rsidP="00172E23">
      <w:pPr>
        <w:rPr>
          <w:rFonts w:cs="Arial"/>
          <w:szCs w:val="20"/>
        </w:rPr>
      </w:pPr>
    </w:p>
    <w:p w14:paraId="4D21F289" w14:textId="0AF6F410" w:rsidR="00172E23" w:rsidRPr="007120E6" w:rsidRDefault="00172E23" w:rsidP="00172E23">
      <w:pPr>
        <w:rPr>
          <w:rFonts w:cs="Arial"/>
          <w:b/>
          <w:bCs/>
          <w:szCs w:val="20"/>
        </w:rPr>
      </w:pPr>
      <w:r w:rsidRPr="00BD4B0A">
        <w:rPr>
          <w:rFonts w:cs="Arial"/>
          <w:b/>
          <w:bCs/>
          <w:szCs w:val="20"/>
          <w:lang w:val="sv-SE"/>
        </w:rPr>
        <w:t xml:space="preserve">Enstegsfärg förenklar livet för </w:t>
      </w:r>
      <w:r w:rsidR="00C94057">
        <w:rPr>
          <w:rFonts w:cs="Arial"/>
          <w:b/>
          <w:bCs/>
          <w:szCs w:val="20"/>
          <w:lang w:val="sv-SE"/>
        </w:rPr>
        <w:t>yacht</w:t>
      </w:r>
      <w:r w:rsidR="00F9428A">
        <w:rPr>
          <w:rFonts w:cs="Arial"/>
          <w:b/>
          <w:bCs/>
          <w:szCs w:val="20"/>
          <w:lang w:val="sv-SE"/>
        </w:rPr>
        <w:t>ägare</w:t>
      </w:r>
    </w:p>
    <w:p w14:paraId="2A624BFC" w14:textId="0707150E" w:rsidR="00172E23" w:rsidRPr="007120E6" w:rsidRDefault="00172E23" w:rsidP="00172E23">
      <w:pPr>
        <w:rPr>
          <w:rFonts w:cs="Arial"/>
          <w:szCs w:val="20"/>
        </w:rPr>
      </w:pPr>
      <w:r w:rsidRPr="00BD4B0A">
        <w:rPr>
          <w:rFonts w:cs="Arial"/>
          <w:szCs w:val="20"/>
          <w:lang w:val="sv-SE"/>
        </w:rPr>
        <w:t xml:space="preserve">Att ta hand om och underhålla sin </w:t>
      </w:r>
      <w:r w:rsidR="00C94057">
        <w:rPr>
          <w:rFonts w:cs="Arial"/>
          <w:szCs w:val="20"/>
          <w:lang w:val="sv-SE"/>
        </w:rPr>
        <w:t>yacht</w:t>
      </w:r>
      <w:r w:rsidR="00C94057" w:rsidRPr="00BD4B0A">
        <w:rPr>
          <w:rFonts w:cs="Arial"/>
          <w:szCs w:val="20"/>
          <w:lang w:val="sv-SE"/>
        </w:rPr>
        <w:t xml:space="preserve"> </w:t>
      </w:r>
      <w:r w:rsidRPr="00BD4B0A">
        <w:rPr>
          <w:rFonts w:cs="Arial"/>
          <w:szCs w:val="20"/>
          <w:lang w:val="sv-SE"/>
        </w:rPr>
        <w:t xml:space="preserve">har nu blivit ännu enklare tack vare lanseringen av </w:t>
      </w:r>
      <w:proofErr w:type="spellStart"/>
      <w:r w:rsidRPr="00BD4B0A">
        <w:rPr>
          <w:rFonts w:cs="Arial"/>
          <w:szCs w:val="20"/>
          <w:lang w:val="sv-SE"/>
        </w:rPr>
        <w:t>Awlgrip</w:t>
      </w:r>
      <w:proofErr w:type="spellEnd"/>
      <w:r w:rsidRPr="00BD4B0A">
        <w:rPr>
          <w:rFonts w:cs="Arial"/>
          <w:szCs w:val="20"/>
          <w:lang w:val="sv-SE"/>
        </w:rPr>
        <w:t xml:space="preserve"> HDT (</w:t>
      </w:r>
      <w:proofErr w:type="spellStart"/>
      <w:r w:rsidRPr="00BD4B0A">
        <w:rPr>
          <w:rFonts w:cs="Arial"/>
          <w:szCs w:val="20"/>
          <w:lang w:val="sv-SE"/>
        </w:rPr>
        <w:t>High</w:t>
      </w:r>
      <w:proofErr w:type="spellEnd"/>
      <w:r w:rsidRPr="00BD4B0A">
        <w:rPr>
          <w:rFonts w:cs="Arial"/>
          <w:szCs w:val="20"/>
          <w:lang w:val="sv-SE"/>
        </w:rPr>
        <w:t xml:space="preserve"> Definition </w:t>
      </w:r>
      <w:proofErr w:type="spellStart"/>
      <w:r w:rsidRPr="00BD4B0A">
        <w:rPr>
          <w:rFonts w:cs="Arial"/>
          <w:szCs w:val="20"/>
          <w:lang w:val="sv-SE"/>
        </w:rPr>
        <w:t>Technology</w:t>
      </w:r>
      <w:proofErr w:type="spellEnd"/>
      <w:r w:rsidRPr="00BD4B0A">
        <w:rPr>
          <w:rFonts w:cs="Arial"/>
          <w:szCs w:val="20"/>
          <w:lang w:val="sv-SE"/>
        </w:rPr>
        <w:t>), en ny enstegs</w:t>
      </w:r>
      <w:r w:rsidR="00C94057">
        <w:rPr>
          <w:rFonts w:cs="Arial"/>
          <w:szCs w:val="20"/>
          <w:lang w:val="sv-SE"/>
        </w:rPr>
        <w:t>skydds</w:t>
      </w:r>
      <w:r w:rsidRPr="00BD4B0A">
        <w:rPr>
          <w:rFonts w:cs="Arial"/>
          <w:szCs w:val="20"/>
          <w:lang w:val="sv-SE"/>
        </w:rPr>
        <w:t xml:space="preserve">färg från AkzoNobel. </w:t>
      </w:r>
      <w:proofErr w:type="spellStart"/>
      <w:r w:rsidRPr="00BD4B0A">
        <w:rPr>
          <w:rFonts w:cs="Arial"/>
          <w:szCs w:val="20"/>
          <w:lang w:val="sv-SE"/>
        </w:rPr>
        <w:t>Awlgrip</w:t>
      </w:r>
      <w:proofErr w:type="spellEnd"/>
      <w:r w:rsidRPr="00BD4B0A">
        <w:rPr>
          <w:rFonts w:cs="Arial"/>
          <w:szCs w:val="20"/>
          <w:lang w:val="sv-SE"/>
        </w:rPr>
        <w:t xml:space="preserve"> HDT </w:t>
      </w:r>
      <w:r w:rsidR="00C94057">
        <w:rPr>
          <w:rFonts w:cs="Arial"/>
          <w:szCs w:val="20"/>
          <w:lang w:val="sv-SE"/>
        </w:rPr>
        <w:t>sätter</w:t>
      </w:r>
      <w:r w:rsidR="00C94057" w:rsidRPr="00BD4B0A">
        <w:rPr>
          <w:rFonts w:cs="Arial"/>
          <w:szCs w:val="20"/>
          <w:lang w:val="sv-SE"/>
        </w:rPr>
        <w:t xml:space="preserve"> </w:t>
      </w:r>
      <w:r w:rsidRPr="00BD4B0A">
        <w:rPr>
          <w:rFonts w:cs="Arial"/>
          <w:szCs w:val="20"/>
          <w:lang w:val="sv-SE"/>
        </w:rPr>
        <w:t xml:space="preserve">en ny standard </w:t>
      </w:r>
      <w:r w:rsidR="00C94057">
        <w:rPr>
          <w:rFonts w:cs="Arial"/>
          <w:szCs w:val="20"/>
          <w:lang w:val="sv-SE"/>
        </w:rPr>
        <w:t>för slutfinish</w:t>
      </w:r>
      <w:r w:rsidR="00D2515C">
        <w:rPr>
          <w:rFonts w:cs="Arial"/>
          <w:szCs w:val="20"/>
          <w:lang w:val="sv-SE"/>
        </w:rPr>
        <w:t xml:space="preserve"> </w:t>
      </w:r>
      <w:r w:rsidRPr="00BD4B0A">
        <w:rPr>
          <w:rFonts w:cs="Arial"/>
          <w:szCs w:val="20"/>
          <w:lang w:val="sv-SE"/>
        </w:rPr>
        <w:t xml:space="preserve">och hållbarhet på </w:t>
      </w:r>
      <w:r w:rsidR="00C94057">
        <w:rPr>
          <w:rFonts w:cs="Arial"/>
          <w:szCs w:val="20"/>
          <w:lang w:val="sv-SE"/>
        </w:rPr>
        <w:t>skydds</w:t>
      </w:r>
      <w:r w:rsidRPr="00BD4B0A">
        <w:rPr>
          <w:rFonts w:cs="Arial"/>
          <w:szCs w:val="20"/>
          <w:lang w:val="sv-SE"/>
        </w:rPr>
        <w:t>färg och är en hög</w:t>
      </w:r>
      <w:r w:rsidR="00C94057">
        <w:rPr>
          <w:rFonts w:cs="Arial"/>
          <w:szCs w:val="20"/>
          <w:lang w:val="sv-SE"/>
        </w:rPr>
        <w:t>kvalitativ</w:t>
      </w:r>
      <w:r w:rsidRPr="00BD4B0A">
        <w:rPr>
          <w:rFonts w:cs="Arial"/>
          <w:szCs w:val="20"/>
          <w:lang w:val="sv-SE"/>
        </w:rPr>
        <w:t xml:space="preserve">, spegelliknande ytbehandling som gör att </w:t>
      </w:r>
      <w:r w:rsidR="00C94057">
        <w:rPr>
          <w:rFonts w:cs="Arial"/>
          <w:szCs w:val="20"/>
          <w:lang w:val="sv-SE"/>
        </w:rPr>
        <w:t>båt</w:t>
      </w:r>
      <w:r w:rsidRPr="00BD4B0A">
        <w:rPr>
          <w:rFonts w:cs="Arial"/>
          <w:szCs w:val="20"/>
          <w:lang w:val="sv-SE"/>
        </w:rPr>
        <w:t xml:space="preserve">ägare kan skydda </w:t>
      </w:r>
      <w:r w:rsidR="00C94057">
        <w:rPr>
          <w:rFonts w:cs="Arial"/>
          <w:szCs w:val="20"/>
          <w:lang w:val="sv-SE"/>
        </w:rPr>
        <w:t xml:space="preserve">och reparera </w:t>
      </w:r>
      <w:r w:rsidRPr="00BD4B0A">
        <w:rPr>
          <w:rFonts w:cs="Arial"/>
          <w:szCs w:val="20"/>
          <w:lang w:val="sv-SE"/>
        </w:rPr>
        <w:t>sina båtar med en imponerande</w:t>
      </w:r>
      <w:r w:rsidR="00C94057">
        <w:rPr>
          <w:rFonts w:cs="Arial"/>
          <w:szCs w:val="20"/>
          <w:lang w:val="sv-SE"/>
        </w:rPr>
        <w:t xml:space="preserve"> och hållbar</w:t>
      </w:r>
      <w:r w:rsidRPr="00BD4B0A">
        <w:rPr>
          <w:rFonts w:cs="Arial"/>
          <w:szCs w:val="20"/>
          <w:lang w:val="sv-SE"/>
        </w:rPr>
        <w:t xml:space="preserve"> finish utan att offra bekvämligheten.</w:t>
      </w:r>
    </w:p>
    <w:p w14:paraId="70DF5C42" w14:textId="77777777" w:rsidR="00172E23" w:rsidRPr="007120E6" w:rsidRDefault="00172E23" w:rsidP="00172E23">
      <w:pPr>
        <w:rPr>
          <w:rFonts w:cs="Arial"/>
          <w:b/>
          <w:bCs/>
          <w:szCs w:val="20"/>
        </w:rPr>
      </w:pPr>
    </w:p>
    <w:p w14:paraId="2E4E492B" w14:textId="7E448399" w:rsidR="00172E23" w:rsidRPr="007120E6" w:rsidRDefault="00172E23" w:rsidP="00172E23">
      <w:pPr>
        <w:rPr>
          <w:rFonts w:cs="Arial"/>
          <w:b/>
          <w:bCs/>
        </w:rPr>
      </w:pPr>
      <w:r w:rsidRPr="00BD4B0A">
        <w:rPr>
          <w:rFonts w:cs="Arial"/>
          <w:b/>
          <w:bCs/>
          <w:szCs w:val="20"/>
          <w:lang w:val="sv-SE"/>
        </w:rPr>
        <w:t xml:space="preserve">Upplev </w:t>
      </w:r>
      <w:r w:rsidR="00C94057">
        <w:rPr>
          <w:rFonts w:cs="Arial"/>
          <w:b/>
          <w:bCs/>
          <w:szCs w:val="20"/>
          <w:lang w:val="sv-SE"/>
        </w:rPr>
        <w:t>kulör</w:t>
      </w:r>
      <w:r w:rsidR="004F2446">
        <w:rPr>
          <w:rFonts w:cs="Arial"/>
          <w:b/>
          <w:bCs/>
          <w:szCs w:val="20"/>
          <w:lang w:val="sv-SE"/>
        </w:rPr>
        <w:t>precision</w:t>
      </w:r>
      <w:r w:rsidR="00C94057" w:rsidRPr="00BD4B0A">
        <w:rPr>
          <w:rFonts w:cs="Arial"/>
          <w:b/>
          <w:bCs/>
          <w:szCs w:val="20"/>
          <w:lang w:val="sv-SE"/>
        </w:rPr>
        <w:t xml:space="preserve"> </w:t>
      </w:r>
      <w:r w:rsidRPr="00BD4B0A">
        <w:rPr>
          <w:rFonts w:cs="Arial"/>
          <w:b/>
          <w:bCs/>
          <w:szCs w:val="20"/>
          <w:lang w:val="sv-SE"/>
        </w:rPr>
        <w:t xml:space="preserve">med våra fyra nya digitala </w:t>
      </w:r>
      <w:r w:rsidR="00C94057">
        <w:rPr>
          <w:rFonts w:cs="Arial"/>
          <w:b/>
          <w:bCs/>
          <w:szCs w:val="20"/>
          <w:lang w:val="sv-SE"/>
        </w:rPr>
        <w:t>kulör</w:t>
      </w:r>
      <w:r w:rsidRPr="00BD4B0A">
        <w:rPr>
          <w:rFonts w:cs="Arial"/>
          <w:b/>
          <w:bCs/>
          <w:szCs w:val="20"/>
          <w:lang w:val="sv-SE"/>
        </w:rPr>
        <w:t>verktyg</w:t>
      </w:r>
    </w:p>
    <w:p w14:paraId="0C59B74A" w14:textId="3EFF6630" w:rsidR="00172E23" w:rsidRPr="007120E6" w:rsidRDefault="002170B6" w:rsidP="00172E23">
      <w:pPr>
        <w:rPr>
          <w:rFonts w:cs="Arial"/>
          <w:szCs w:val="20"/>
        </w:rPr>
      </w:pPr>
      <w:r w:rsidRPr="00BD4B0A">
        <w:rPr>
          <w:rFonts w:cs="Arial"/>
          <w:szCs w:val="20"/>
          <w:shd w:val="clear" w:color="auto" w:fill="FFFFFF"/>
          <w:lang w:val="sv-SE"/>
        </w:rPr>
        <w:t xml:space="preserve">Vi introducerade nyligen fyra nya digitala verktyg för att göra det enklare för våra kunder att matcha </w:t>
      </w:r>
      <w:r w:rsidR="00C94057">
        <w:rPr>
          <w:rFonts w:cs="Arial"/>
          <w:szCs w:val="20"/>
          <w:shd w:val="clear" w:color="auto" w:fill="FFFFFF"/>
          <w:lang w:val="sv-SE"/>
        </w:rPr>
        <w:t>kulörer</w:t>
      </w:r>
      <w:r w:rsidRPr="00BD4B0A">
        <w:rPr>
          <w:rFonts w:cs="Arial"/>
          <w:szCs w:val="20"/>
          <w:shd w:val="clear" w:color="auto" w:fill="FFFFFF"/>
          <w:lang w:val="sv-SE"/>
        </w:rPr>
        <w:t xml:space="preserve">. Tre av dem används av våra </w:t>
      </w:r>
      <w:r w:rsidR="00C94057">
        <w:rPr>
          <w:rFonts w:cs="Arial"/>
          <w:szCs w:val="20"/>
          <w:shd w:val="clear" w:color="auto" w:fill="FFFFFF"/>
          <w:lang w:val="sv-SE"/>
        </w:rPr>
        <w:t>industri</w:t>
      </w:r>
      <w:r w:rsidRPr="00BD4B0A">
        <w:rPr>
          <w:rFonts w:cs="Arial"/>
          <w:szCs w:val="20"/>
          <w:shd w:val="clear" w:color="auto" w:fill="FFFFFF"/>
          <w:lang w:val="sv-SE"/>
        </w:rPr>
        <w:t xml:space="preserve">kunder och fungerar med </w:t>
      </w:r>
      <w:proofErr w:type="spellStart"/>
      <w:r w:rsidRPr="00BD4B0A">
        <w:rPr>
          <w:rFonts w:cs="Arial"/>
          <w:szCs w:val="20"/>
          <w:shd w:val="clear" w:color="auto" w:fill="FFFFFF"/>
          <w:lang w:val="sv-SE"/>
        </w:rPr>
        <w:t>Salcomix</w:t>
      </w:r>
      <w:proofErr w:type="spellEnd"/>
      <w:r w:rsidRPr="00BD4B0A">
        <w:rPr>
          <w:rFonts w:cs="Arial"/>
          <w:szCs w:val="20"/>
          <w:shd w:val="clear" w:color="auto" w:fill="FFFFFF"/>
          <w:lang w:val="sv-SE"/>
        </w:rPr>
        <w:t xml:space="preserve">-systemet, </w:t>
      </w:r>
      <w:r w:rsidR="00C94057">
        <w:rPr>
          <w:rFonts w:cs="Arial"/>
          <w:szCs w:val="20"/>
          <w:shd w:val="clear" w:color="auto" w:fill="FFFFFF"/>
          <w:lang w:val="sv-SE"/>
        </w:rPr>
        <w:t xml:space="preserve">som är ett system som används </w:t>
      </w:r>
      <w:r w:rsidRPr="00BD4B0A">
        <w:rPr>
          <w:rFonts w:cs="Arial"/>
          <w:szCs w:val="20"/>
          <w:shd w:val="clear" w:color="auto" w:fill="FFFFFF"/>
          <w:lang w:val="sv-SE"/>
        </w:rPr>
        <w:t>på plats</w:t>
      </w:r>
      <w:r w:rsidR="00C94057">
        <w:rPr>
          <w:rFonts w:cs="Arial"/>
          <w:szCs w:val="20"/>
          <w:shd w:val="clear" w:color="auto" w:fill="FFFFFF"/>
          <w:lang w:val="sv-SE"/>
        </w:rPr>
        <w:t xml:space="preserve"> hos kunden och</w:t>
      </w:r>
      <w:r w:rsidRPr="00BD4B0A">
        <w:rPr>
          <w:rFonts w:cs="Arial"/>
          <w:szCs w:val="20"/>
          <w:shd w:val="clear" w:color="auto" w:fill="FFFFFF"/>
          <w:lang w:val="sv-SE"/>
        </w:rPr>
        <w:t xml:space="preserve"> möjlig</w:t>
      </w:r>
      <w:r w:rsidR="00C94057">
        <w:rPr>
          <w:rFonts w:cs="Arial"/>
          <w:szCs w:val="20"/>
          <w:shd w:val="clear" w:color="auto" w:fill="FFFFFF"/>
          <w:lang w:val="sv-SE"/>
        </w:rPr>
        <w:t>gör</w:t>
      </w:r>
      <w:r w:rsidRPr="00BD4B0A">
        <w:rPr>
          <w:rFonts w:cs="Arial"/>
          <w:szCs w:val="20"/>
          <w:shd w:val="clear" w:color="auto" w:fill="FFFFFF"/>
          <w:lang w:val="sv-SE"/>
        </w:rPr>
        <w:t xml:space="preserve"> att blanda </w:t>
      </w:r>
      <w:r w:rsidR="00C94057">
        <w:rPr>
          <w:rFonts w:cs="Arial"/>
          <w:szCs w:val="20"/>
          <w:shd w:val="clear" w:color="auto" w:fill="FFFFFF"/>
          <w:lang w:val="sv-SE"/>
        </w:rPr>
        <w:t>kulörer</w:t>
      </w:r>
      <w:r w:rsidRPr="00BD4B0A">
        <w:rPr>
          <w:rFonts w:cs="Arial"/>
          <w:szCs w:val="20"/>
          <w:shd w:val="clear" w:color="auto" w:fill="FFFFFF"/>
          <w:lang w:val="sv-SE"/>
        </w:rPr>
        <w:t xml:space="preserve"> med överlägsen </w:t>
      </w:r>
      <w:r w:rsidR="00C94057">
        <w:rPr>
          <w:rFonts w:cs="Arial"/>
          <w:szCs w:val="20"/>
          <w:shd w:val="clear" w:color="auto" w:fill="FFFFFF"/>
          <w:lang w:val="sv-SE"/>
        </w:rPr>
        <w:t>precision</w:t>
      </w:r>
      <w:r w:rsidRPr="00BD4B0A">
        <w:rPr>
          <w:rFonts w:cs="Arial"/>
          <w:szCs w:val="20"/>
          <w:shd w:val="clear" w:color="auto" w:fill="FFFFFF"/>
          <w:lang w:val="sv-SE"/>
        </w:rPr>
        <w:t xml:space="preserve">. De </w:t>
      </w:r>
      <w:r w:rsidR="00C94057">
        <w:rPr>
          <w:rFonts w:cs="Arial"/>
          <w:szCs w:val="20"/>
          <w:shd w:val="clear" w:color="auto" w:fill="FFFFFF"/>
          <w:lang w:val="sv-SE"/>
        </w:rPr>
        <w:t>inkluderar</w:t>
      </w:r>
      <w:r w:rsidR="00C94057" w:rsidRPr="00BD4B0A">
        <w:rPr>
          <w:rFonts w:cs="Arial"/>
          <w:szCs w:val="20"/>
          <w:shd w:val="clear" w:color="auto" w:fill="FFFFFF"/>
          <w:lang w:val="sv-SE"/>
        </w:rPr>
        <w:t xml:space="preserve"> </w:t>
      </w:r>
      <w:proofErr w:type="spellStart"/>
      <w:r w:rsidRPr="00BD4B0A">
        <w:rPr>
          <w:rFonts w:cs="Arial"/>
          <w:szCs w:val="20"/>
          <w:shd w:val="clear" w:color="auto" w:fill="FFFFFF"/>
          <w:lang w:val="sv-SE"/>
        </w:rPr>
        <w:t>Salcomix</w:t>
      </w:r>
      <w:proofErr w:type="spellEnd"/>
      <w:r w:rsidRPr="00BD4B0A">
        <w:rPr>
          <w:rFonts w:cs="Arial"/>
          <w:szCs w:val="20"/>
          <w:shd w:val="clear" w:color="auto" w:fill="FFFFFF"/>
          <w:lang w:val="sv-SE"/>
        </w:rPr>
        <w:t xml:space="preserve"> </w:t>
      </w:r>
      <w:proofErr w:type="spellStart"/>
      <w:r w:rsidRPr="00BD4B0A">
        <w:rPr>
          <w:rFonts w:cs="Arial"/>
          <w:szCs w:val="20"/>
          <w:shd w:val="clear" w:color="auto" w:fill="FFFFFF"/>
          <w:lang w:val="sv-SE"/>
        </w:rPr>
        <w:t>PaintFinder</w:t>
      </w:r>
      <w:proofErr w:type="spellEnd"/>
      <w:r w:rsidRPr="00BD4B0A">
        <w:rPr>
          <w:rFonts w:cs="Arial"/>
          <w:szCs w:val="20"/>
          <w:shd w:val="clear" w:color="auto" w:fill="FFFFFF"/>
          <w:lang w:val="sv-SE"/>
        </w:rPr>
        <w:t xml:space="preserve"> Cloud (med åtkomst till mer än 600 000 </w:t>
      </w:r>
      <w:r w:rsidR="00C94057">
        <w:rPr>
          <w:rFonts w:cs="Arial"/>
          <w:szCs w:val="20"/>
          <w:shd w:val="clear" w:color="auto" w:fill="FFFFFF"/>
          <w:lang w:val="sv-SE"/>
        </w:rPr>
        <w:t>kulör</w:t>
      </w:r>
      <w:r w:rsidRPr="00BD4B0A">
        <w:rPr>
          <w:rFonts w:cs="Arial"/>
          <w:szCs w:val="20"/>
          <w:shd w:val="clear" w:color="auto" w:fill="FFFFFF"/>
          <w:lang w:val="sv-SE"/>
        </w:rPr>
        <w:t xml:space="preserve">sammansättningar), det förstklassiga mätverktyget Automatchic Vision och </w:t>
      </w:r>
      <w:proofErr w:type="spellStart"/>
      <w:r w:rsidRPr="00BD4B0A">
        <w:rPr>
          <w:rFonts w:cs="Arial"/>
          <w:szCs w:val="20"/>
          <w:shd w:val="clear" w:color="auto" w:fill="FFFFFF"/>
          <w:lang w:val="sv-SE"/>
        </w:rPr>
        <w:t>ColorFinder</w:t>
      </w:r>
      <w:proofErr w:type="spellEnd"/>
      <w:r w:rsidRPr="00BD4B0A">
        <w:rPr>
          <w:rFonts w:cs="Arial"/>
          <w:szCs w:val="20"/>
          <w:shd w:val="clear" w:color="auto" w:fill="FFFFFF"/>
          <w:lang w:val="sv-SE"/>
        </w:rPr>
        <w:t xml:space="preserve">, som fungerar via en dedikerad app. Det fjärde digitala verktyget, </w:t>
      </w:r>
      <w:r w:rsidRPr="00BD4B0A">
        <w:rPr>
          <w:rFonts w:cs="Arial"/>
          <w:szCs w:val="20"/>
          <w:lang w:val="sv-SE"/>
        </w:rPr>
        <w:t>Color Sensor,</w:t>
      </w:r>
      <w:r w:rsidRPr="00BD4B0A">
        <w:rPr>
          <w:rFonts w:cs="Arial"/>
          <w:szCs w:val="20"/>
          <w:shd w:val="clear" w:color="auto" w:fill="FFFFFF"/>
          <w:lang w:val="sv-SE"/>
        </w:rPr>
        <w:t xml:space="preserve"> hjälper professionella målare som använder våra dekorationsfärger att </w:t>
      </w:r>
      <w:r w:rsidRPr="00BD4B0A">
        <w:rPr>
          <w:rFonts w:cs="Arial"/>
          <w:szCs w:val="20"/>
          <w:lang w:val="sv-SE"/>
        </w:rPr>
        <w:t xml:space="preserve">matcha sina kunders </w:t>
      </w:r>
      <w:r w:rsidR="00C94057">
        <w:rPr>
          <w:rFonts w:cs="Arial"/>
          <w:szCs w:val="20"/>
          <w:lang w:val="sv-SE"/>
        </w:rPr>
        <w:t>kulör</w:t>
      </w:r>
      <w:r w:rsidRPr="00BD4B0A">
        <w:rPr>
          <w:rFonts w:cs="Arial"/>
          <w:szCs w:val="20"/>
          <w:lang w:val="sv-SE"/>
        </w:rPr>
        <w:t xml:space="preserve">val på bara några sekunder. Den lilla bärbara enheten skannar </w:t>
      </w:r>
      <w:r w:rsidR="00C94057">
        <w:rPr>
          <w:rFonts w:cs="Arial"/>
          <w:szCs w:val="20"/>
          <w:lang w:val="sv-SE"/>
        </w:rPr>
        <w:t>kulör</w:t>
      </w:r>
      <w:r w:rsidRPr="00BD4B0A">
        <w:rPr>
          <w:rFonts w:cs="Arial"/>
          <w:szCs w:val="20"/>
          <w:lang w:val="sv-SE"/>
        </w:rPr>
        <w:t>en på valfritt föremål och ansluter till Color Sensor-</w:t>
      </w:r>
      <w:proofErr w:type="spellStart"/>
      <w:r w:rsidRPr="00BD4B0A">
        <w:rPr>
          <w:rFonts w:cs="Arial"/>
          <w:szCs w:val="20"/>
          <w:lang w:val="sv-SE"/>
        </w:rPr>
        <w:t>appen</w:t>
      </w:r>
      <w:proofErr w:type="spellEnd"/>
      <w:r w:rsidRPr="00BD4B0A">
        <w:rPr>
          <w:rFonts w:cs="Arial"/>
          <w:szCs w:val="20"/>
          <w:lang w:val="sv-SE"/>
        </w:rPr>
        <w:t xml:space="preserve"> för att få en exakt </w:t>
      </w:r>
      <w:r w:rsidR="00E0582C">
        <w:rPr>
          <w:rFonts w:cs="Arial"/>
          <w:szCs w:val="20"/>
          <w:lang w:val="sv-SE"/>
        </w:rPr>
        <w:t>kulör</w:t>
      </w:r>
      <w:r w:rsidRPr="00BD4B0A">
        <w:rPr>
          <w:rFonts w:cs="Arial"/>
          <w:szCs w:val="20"/>
          <w:lang w:val="sv-SE"/>
        </w:rPr>
        <w:t>matchning.  </w:t>
      </w:r>
    </w:p>
    <w:bookmarkEnd w:id="6"/>
    <w:p w14:paraId="236204FD" w14:textId="77777777" w:rsidR="00823E77" w:rsidRPr="00BD4B0A" w:rsidRDefault="00823E77" w:rsidP="000524E8">
      <w:pPr>
        <w:pStyle w:val="paragraph"/>
        <w:textAlignment w:val="baseline"/>
        <w:rPr>
          <w:rStyle w:val="normaltextrun1"/>
          <w:rFonts w:ascii="Arial" w:hAnsi="Arial" w:cs="Arial"/>
          <w:sz w:val="20"/>
          <w:szCs w:val="22"/>
          <w:lang w:val="sv-SE"/>
        </w:rPr>
      </w:pPr>
    </w:p>
    <w:tbl>
      <w:tblPr>
        <w:tblStyle w:val="TableGrid"/>
        <w:tblW w:w="9369" w:type="dxa"/>
        <w:tblLook w:val="04A0" w:firstRow="1" w:lastRow="0" w:firstColumn="1" w:lastColumn="0" w:noHBand="0" w:noVBand="1"/>
      </w:tblPr>
      <w:tblGrid>
        <w:gridCol w:w="9369"/>
      </w:tblGrid>
      <w:tr w:rsidR="00501AE7" w:rsidRPr="003C5846" w14:paraId="19B9F76B" w14:textId="77777777" w:rsidTr="00CB5B4F">
        <w:trPr>
          <w:trHeight w:val="3768"/>
        </w:trPr>
        <w:tc>
          <w:tcPr>
            <w:tcW w:w="9369" w:type="dxa"/>
          </w:tcPr>
          <w:p w14:paraId="58CECE8A" w14:textId="319C85C6" w:rsidR="00501AE7" w:rsidRPr="00BD4B0A" w:rsidRDefault="00E0582C" w:rsidP="003B58ED">
            <w:pPr>
              <w:ind w:right="-27"/>
              <w:rPr>
                <w:rFonts w:cs="Arial"/>
                <w:lang w:val="sv-SE"/>
              </w:rPr>
            </w:pPr>
            <w:r>
              <w:rPr>
                <w:rFonts w:cs="Arial"/>
                <w:b/>
                <w:bCs/>
                <w:lang w:val="sv-SE"/>
              </w:rPr>
              <w:t>Utsikter</w:t>
            </w:r>
            <w:r w:rsidR="00501AE7" w:rsidRPr="00BD4B0A">
              <w:rPr>
                <w:rFonts w:cs="Arial"/>
                <w:b/>
                <w:bCs/>
                <w:lang w:val="sv-SE"/>
              </w:rPr>
              <w:t>:</w:t>
            </w:r>
          </w:p>
          <w:p w14:paraId="4608B7FE" w14:textId="70E4B6F8" w:rsidR="00482A32" w:rsidRPr="00BD4B0A" w:rsidRDefault="00482A32" w:rsidP="00346FA1">
            <w:pPr>
              <w:widowControl/>
              <w:rPr>
                <w:rFonts w:cs="Arial"/>
                <w:lang w:val="sv-SE"/>
              </w:rPr>
            </w:pPr>
            <w:r w:rsidRPr="00BD4B0A">
              <w:rPr>
                <w:rFonts w:cs="Arial"/>
                <w:lang w:val="sv-SE"/>
              </w:rPr>
              <w:t xml:space="preserve">Vår strategi </w:t>
            </w:r>
            <w:proofErr w:type="spellStart"/>
            <w:r w:rsidR="00E0582C">
              <w:rPr>
                <w:rFonts w:cs="Arial"/>
                <w:lang w:val="sv-SE"/>
              </w:rPr>
              <w:t>Winning</w:t>
            </w:r>
            <w:proofErr w:type="spellEnd"/>
            <w:r w:rsidR="00E0582C">
              <w:rPr>
                <w:rFonts w:cs="Arial"/>
                <w:lang w:val="sv-SE"/>
              </w:rPr>
              <w:t xml:space="preserve"> </w:t>
            </w:r>
            <w:proofErr w:type="spellStart"/>
            <w:r w:rsidR="00E0582C">
              <w:rPr>
                <w:rFonts w:cs="Arial"/>
                <w:lang w:val="sv-SE"/>
              </w:rPr>
              <w:t>together</w:t>
            </w:r>
            <w:proofErr w:type="spellEnd"/>
            <w:r w:rsidR="00E0582C">
              <w:rPr>
                <w:rFonts w:cs="Arial"/>
                <w:lang w:val="sv-SE"/>
              </w:rPr>
              <w:t xml:space="preserve"> (</w:t>
            </w:r>
            <w:r w:rsidRPr="00BD4B0A">
              <w:rPr>
                <w:rFonts w:cs="Arial"/>
                <w:lang w:val="sv-SE"/>
              </w:rPr>
              <w:t>Vinna tillsammans</w:t>
            </w:r>
            <w:r w:rsidR="00E0582C">
              <w:rPr>
                <w:rFonts w:cs="Arial"/>
                <w:lang w:val="sv-SE"/>
              </w:rPr>
              <w:t>)</w:t>
            </w:r>
            <w:r w:rsidRPr="00BD4B0A">
              <w:rPr>
                <w:rFonts w:cs="Arial"/>
                <w:lang w:val="sv-SE"/>
              </w:rPr>
              <w:t>: 15</w:t>
            </w:r>
            <w:r w:rsidR="00E0582C">
              <w:rPr>
                <w:rFonts w:cs="Arial"/>
                <w:lang w:val="sv-SE"/>
              </w:rPr>
              <w:t xml:space="preserve"> by</w:t>
            </w:r>
            <w:r w:rsidR="00E209DD">
              <w:rPr>
                <w:rFonts w:cs="Arial"/>
                <w:lang w:val="sv-SE"/>
              </w:rPr>
              <w:t xml:space="preserve"> </w:t>
            </w:r>
            <w:r w:rsidRPr="00BD4B0A">
              <w:rPr>
                <w:rFonts w:cs="Arial"/>
                <w:lang w:val="sv-SE"/>
              </w:rPr>
              <w:t>20 ger resultat och</w:t>
            </w:r>
            <w:r w:rsidR="00E0582C">
              <w:rPr>
                <w:rFonts w:cs="Arial"/>
                <w:lang w:val="sv-SE"/>
              </w:rPr>
              <w:t xml:space="preserve"> utvecklingen av en ändamålsenlig </w:t>
            </w:r>
            <w:r w:rsidR="00E0582C" w:rsidRPr="00BD4B0A">
              <w:rPr>
                <w:rFonts w:cs="Arial"/>
                <w:lang w:val="sv-SE"/>
              </w:rPr>
              <w:t xml:space="preserve">organisation </w:t>
            </w:r>
            <w:r w:rsidRPr="00BD4B0A">
              <w:rPr>
                <w:rFonts w:cs="Arial"/>
                <w:lang w:val="sv-SE"/>
              </w:rPr>
              <w:t xml:space="preserve">för ett fokuserat färg- och </w:t>
            </w:r>
            <w:proofErr w:type="spellStart"/>
            <w:r w:rsidRPr="00BD4B0A">
              <w:rPr>
                <w:rFonts w:cs="Arial"/>
                <w:lang w:val="sv-SE"/>
              </w:rPr>
              <w:t>yt</w:t>
            </w:r>
            <w:r w:rsidR="00E0582C">
              <w:rPr>
                <w:rFonts w:cs="Arial"/>
                <w:lang w:val="sv-SE"/>
              </w:rPr>
              <w:t>skydd</w:t>
            </w:r>
            <w:r w:rsidRPr="00BD4B0A">
              <w:rPr>
                <w:rFonts w:cs="Arial"/>
                <w:lang w:val="sv-SE"/>
              </w:rPr>
              <w:t>sföretag</w:t>
            </w:r>
            <w:proofErr w:type="spellEnd"/>
            <w:r w:rsidR="00E0582C" w:rsidRPr="00BD4B0A">
              <w:rPr>
                <w:rFonts w:cs="Arial"/>
                <w:lang w:val="sv-SE"/>
              </w:rPr>
              <w:t xml:space="preserve"> fortsätter</w:t>
            </w:r>
            <w:r w:rsidRPr="00BD4B0A">
              <w:rPr>
                <w:rFonts w:cs="Arial"/>
                <w:lang w:val="sv-SE"/>
              </w:rPr>
              <w:t xml:space="preserve">, vilket bidrar till </w:t>
            </w:r>
            <w:r w:rsidR="00E0582C">
              <w:rPr>
                <w:rFonts w:cs="Arial"/>
                <w:lang w:val="sv-SE"/>
              </w:rPr>
              <w:t>genom</w:t>
            </w:r>
            <w:r w:rsidRPr="00BD4B0A">
              <w:rPr>
                <w:rFonts w:cs="Arial"/>
                <w:lang w:val="sv-SE"/>
              </w:rPr>
              <w:t>förandet av vår</w:t>
            </w:r>
            <w:r w:rsidR="00ED59FF">
              <w:rPr>
                <w:rFonts w:cs="Arial"/>
                <w:lang w:val="sv-SE"/>
              </w:rPr>
              <w:t xml:space="preserve"> utstakade väg till</w:t>
            </w:r>
            <w:r w:rsidRPr="00BD4B0A">
              <w:rPr>
                <w:rFonts w:cs="Arial"/>
                <w:lang w:val="sv-SE"/>
              </w:rPr>
              <w:t xml:space="preserve"> 2020. </w:t>
            </w:r>
          </w:p>
          <w:p w14:paraId="091A9CDD" w14:textId="77777777" w:rsidR="00482A32" w:rsidRPr="00BD4B0A" w:rsidRDefault="00482A32" w:rsidP="00346FA1">
            <w:pPr>
              <w:widowControl/>
              <w:rPr>
                <w:rFonts w:cs="Arial"/>
                <w:lang w:val="sv-SE"/>
              </w:rPr>
            </w:pPr>
          </w:p>
          <w:p w14:paraId="6E0173E9" w14:textId="7E205718" w:rsidR="00482A32" w:rsidRPr="00BD4B0A" w:rsidRDefault="00E0582C" w:rsidP="00346FA1">
            <w:pPr>
              <w:widowControl/>
              <w:rPr>
                <w:rFonts w:cs="Arial"/>
                <w:lang w:val="sv-SE"/>
              </w:rPr>
            </w:pPr>
            <w:r>
              <w:rPr>
                <w:rFonts w:cs="Arial"/>
                <w:lang w:val="sv-SE"/>
              </w:rPr>
              <w:t>E</w:t>
            </w:r>
            <w:r w:rsidR="00482A32" w:rsidRPr="00BD4B0A">
              <w:rPr>
                <w:rFonts w:cs="Arial"/>
                <w:lang w:val="sv-SE"/>
              </w:rPr>
              <w:t>fterfrågan</w:t>
            </w:r>
            <w:r>
              <w:rPr>
                <w:rFonts w:cs="Arial"/>
                <w:lang w:val="sv-SE"/>
              </w:rPr>
              <w:t xml:space="preserve"> på våra produkter</w:t>
            </w:r>
            <w:r w:rsidR="00482A32" w:rsidRPr="00BD4B0A">
              <w:rPr>
                <w:rFonts w:cs="Arial"/>
                <w:lang w:val="sv-SE"/>
              </w:rPr>
              <w:t xml:space="preserve"> skiljer sig åt mellan olika regioner och olika segment, i en </w:t>
            </w:r>
            <w:r>
              <w:rPr>
                <w:rFonts w:cs="Arial"/>
                <w:lang w:val="sv-SE"/>
              </w:rPr>
              <w:t>osäker</w:t>
            </w:r>
            <w:r w:rsidRPr="00BD4B0A">
              <w:rPr>
                <w:rFonts w:cs="Arial"/>
                <w:lang w:val="sv-SE"/>
              </w:rPr>
              <w:t xml:space="preserve"> </w:t>
            </w:r>
            <w:r w:rsidR="00482A32" w:rsidRPr="00BD4B0A">
              <w:rPr>
                <w:rFonts w:cs="Arial"/>
                <w:lang w:val="sv-SE"/>
              </w:rPr>
              <w:t xml:space="preserve">makroekonomisk miljö. Inflationen på råmaterial förväntas ha en fördelaktig effekt på återstoden av 2019. Fortsatta prissättningsinitiativ och kostnadsbesparingsprogram finns på plats för att hantera aktuella utmaningar. </w:t>
            </w:r>
          </w:p>
          <w:p w14:paraId="507380F1" w14:textId="77777777" w:rsidR="00482A32" w:rsidRPr="00BD4B0A" w:rsidRDefault="00482A32" w:rsidP="00346FA1">
            <w:pPr>
              <w:widowControl/>
              <w:rPr>
                <w:rFonts w:cs="Arial"/>
                <w:lang w:val="sv-SE"/>
              </w:rPr>
            </w:pPr>
          </w:p>
          <w:p w14:paraId="7FBAA127" w14:textId="42DC3AE7" w:rsidR="00482A32" w:rsidRPr="00BD4B0A" w:rsidRDefault="00482A32" w:rsidP="00346FA1">
            <w:pPr>
              <w:widowControl/>
              <w:rPr>
                <w:rFonts w:cs="Arial"/>
                <w:lang w:val="sv-SE"/>
              </w:rPr>
            </w:pPr>
            <w:r w:rsidRPr="00BD4B0A">
              <w:rPr>
                <w:rFonts w:cs="Arial"/>
                <w:lang w:val="sv-SE"/>
              </w:rPr>
              <w:t xml:space="preserve">Vi fortsätter </w:t>
            </w:r>
            <w:r w:rsidR="00F02C55">
              <w:rPr>
                <w:rFonts w:cs="Arial"/>
                <w:lang w:val="sv-SE"/>
              </w:rPr>
              <w:t>genomföra</w:t>
            </w:r>
            <w:r w:rsidRPr="00BD4B0A">
              <w:rPr>
                <w:rFonts w:cs="Arial"/>
                <w:lang w:val="sv-SE"/>
              </w:rPr>
              <w:t xml:space="preserve"> vår transformation för att leverera tidigare tillkännagivna kostnadsbesparingar på 200</w:t>
            </w:r>
            <w:r w:rsidR="00E0582C">
              <w:rPr>
                <w:rFonts w:cs="Arial"/>
                <w:lang w:val="sv-SE"/>
              </w:rPr>
              <w:t>MEUR</w:t>
            </w:r>
            <w:r w:rsidRPr="00BD4B0A">
              <w:rPr>
                <w:rFonts w:cs="Arial"/>
                <w:lang w:val="sv-SE"/>
              </w:rPr>
              <w:t xml:space="preserve"> fram till 2020, vilket </w:t>
            </w:r>
            <w:r w:rsidR="00E0582C">
              <w:rPr>
                <w:rFonts w:cs="Arial"/>
                <w:lang w:val="sv-SE"/>
              </w:rPr>
              <w:t>medför</w:t>
            </w:r>
            <w:r w:rsidRPr="00BD4B0A">
              <w:rPr>
                <w:rFonts w:cs="Arial"/>
                <w:lang w:val="sv-SE"/>
              </w:rPr>
              <w:t xml:space="preserve"> engångskostnader under 2019 och 2020. </w:t>
            </w:r>
          </w:p>
          <w:p w14:paraId="304C8DC1" w14:textId="77777777" w:rsidR="00482A32" w:rsidRPr="00BD4B0A" w:rsidRDefault="00482A32" w:rsidP="00346FA1">
            <w:pPr>
              <w:widowControl/>
              <w:rPr>
                <w:rFonts w:cs="Arial"/>
                <w:lang w:val="sv-SE"/>
              </w:rPr>
            </w:pPr>
          </w:p>
          <w:p w14:paraId="28066E16" w14:textId="578761AA" w:rsidR="00501AE7" w:rsidRPr="00BD4B0A" w:rsidRDefault="00482A32" w:rsidP="00346FA1">
            <w:pPr>
              <w:widowControl/>
              <w:rPr>
                <w:rFonts w:cs="Arial"/>
                <w:b/>
                <w:spacing w:val="-2"/>
                <w:lang w:val="sv-SE"/>
              </w:rPr>
            </w:pPr>
            <w:r w:rsidRPr="00BD4B0A">
              <w:rPr>
                <w:rFonts w:cs="Arial"/>
                <w:lang w:val="sv-SE"/>
              </w:rPr>
              <w:t>Vi siktar på en hävstångsgrad mellan 1,0 och 2,0 gånger nettoskuld/EBITDA före slutet av 2020 och åtar oss att upprätthålla starka kredit- och investeringsbetyg.</w:t>
            </w:r>
          </w:p>
        </w:tc>
      </w:tr>
    </w:tbl>
    <w:p w14:paraId="66EE34BD" w14:textId="77777777" w:rsidR="004B63BD" w:rsidRPr="007120E6" w:rsidRDefault="004B63BD" w:rsidP="00710216">
      <w:pPr>
        <w:autoSpaceDE w:val="0"/>
        <w:autoSpaceDN w:val="0"/>
        <w:spacing w:after="0" w:line="240" w:lineRule="auto"/>
        <w:rPr>
          <w:rFonts w:cs="Arial"/>
          <w:b/>
          <w:szCs w:val="20"/>
        </w:rPr>
      </w:pPr>
    </w:p>
    <w:p w14:paraId="663CEC37" w14:textId="4A6694BC" w:rsidR="00417A8C" w:rsidRPr="007120E6" w:rsidRDefault="00B45F28" w:rsidP="00710216">
      <w:pPr>
        <w:autoSpaceDE w:val="0"/>
        <w:autoSpaceDN w:val="0"/>
        <w:spacing w:after="0" w:line="240" w:lineRule="auto"/>
        <w:rPr>
          <w:rFonts w:cs="Arial"/>
          <w:color w:val="1F497D"/>
          <w:szCs w:val="20"/>
        </w:rPr>
      </w:pPr>
      <w:r w:rsidRPr="00BD4B0A">
        <w:rPr>
          <w:rFonts w:cs="Arial"/>
          <w:b/>
          <w:bCs/>
          <w:szCs w:val="20"/>
          <w:lang w:val="sv-SE"/>
        </w:rPr>
        <w:t xml:space="preserve">Rapporten för det tredje kvartalet 2019 kan ses och laddas ner på </w:t>
      </w:r>
      <w:hyperlink r:id="rId11" w:history="1">
        <w:r w:rsidRPr="00BD4B0A">
          <w:rPr>
            <w:rStyle w:val="Hyperlink"/>
            <w:szCs w:val="20"/>
            <w:lang w:val="sv-SE"/>
          </w:rPr>
          <w:t>https://akzo.no/Q32019Report</w:t>
        </w:r>
      </w:hyperlink>
    </w:p>
    <w:bookmarkEnd w:id="0"/>
    <w:bookmarkEnd w:id="1"/>
    <w:tbl>
      <w:tblPr>
        <w:tblStyle w:val="TableGrid1"/>
        <w:tblW w:w="6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35"/>
        <w:gridCol w:w="1134"/>
        <w:gridCol w:w="1134"/>
        <w:gridCol w:w="709"/>
      </w:tblGrid>
      <w:tr w:rsidR="008E11B1" w:rsidRPr="003C5846" w14:paraId="1D0A5AC9" w14:textId="77777777" w:rsidTr="008E11B1">
        <w:tc>
          <w:tcPr>
            <w:tcW w:w="709" w:type="dxa"/>
            <w:shd w:val="clear" w:color="auto" w:fill="auto"/>
          </w:tcPr>
          <w:p w14:paraId="4A3EDD43" w14:textId="77777777" w:rsidR="00B27DAB" w:rsidRPr="00BD4B0A" w:rsidRDefault="00B27DAB" w:rsidP="00FF7EE7">
            <w:pPr>
              <w:spacing w:after="0" w:line="240" w:lineRule="auto"/>
              <w:ind w:right="-351"/>
              <w:rPr>
                <w:rFonts w:cs="Arial"/>
                <w:b/>
                <w:color w:val="FFFFFF"/>
                <w:lang w:val="sv-SE"/>
              </w:rPr>
            </w:pPr>
          </w:p>
        </w:tc>
        <w:tc>
          <w:tcPr>
            <w:tcW w:w="2835" w:type="dxa"/>
            <w:shd w:val="clear" w:color="auto" w:fill="auto"/>
            <w:vAlign w:val="center"/>
          </w:tcPr>
          <w:p w14:paraId="68BB37AB" w14:textId="77777777" w:rsidR="008E11B1" w:rsidRPr="00BD4B0A" w:rsidRDefault="008E11B1" w:rsidP="00FF7EE7">
            <w:pPr>
              <w:spacing w:after="0" w:line="240" w:lineRule="auto"/>
              <w:ind w:right="-351"/>
              <w:rPr>
                <w:rFonts w:cs="Arial"/>
                <w:b/>
                <w:color w:val="FFFFFF"/>
                <w:lang w:val="sv-SE"/>
              </w:rPr>
            </w:pPr>
          </w:p>
        </w:tc>
        <w:tc>
          <w:tcPr>
            <w:tcW w:w="1134" w:type="dxa"/>
            <w:shd w:val="clear" w:color="auto" w:fill="auto"/>
          </w:tcPr>
          <w:p w14:paraId="71537D46" w14:textId="77777777" w:rsidR="008E11B1" w:rsidRPr="00BD4B0A" w:rsidRDefault="008E11B1" w:rsidP="00FF7EE7">
            <w:pPr>
              <w:spacing w:after="0" w:line="240" w:lineRule="auto"/>
              <w:ind w:right="-351"/>
              <w:jc w:val="right"/>
              <w:rPr>
                <w:rFonts w:cs="Arial"/>
                <w:b/>
                <w:color w:val="FFFFFF"/>
                <w:lang w:val="sv-SE"/>
              </w:rPr>
            </w:pPr>
          </w:p>
        </w:tc>
        <w:tc>
          <w:tcPr>
            <w:tcW w:w="1134" w:type="dxa"/>
            <w:shd w:val="clear" w:color="auto" w:fill="auto"/>
          </w:tcPr>
          <w:p w14:paraId="2AF9E4AF" w14:textId="77777777" w:rsidR="008E11B1" w:rsidRPr="00BD4B0A" w:rsidRDefault="008E11B1" w:rsidP="00FF7EE7">
            <w:pPr>
              <w:spacing w:after="0" w:line="240" w:lineRule="auto"/>
              <w:ind w:right="-351"/>
              <w:jc w:val="right"/>
              <w:rPr>
                <w:rFonts w:cs="Arial"/>
                <w:b/>
                <w:color w:val="FFFFFF"/>
                <w:lang w:val="sv-SE"/>
              </w:rPr>
            </w:pPr>
          </w:p>
        </w:tc>
        <w:tc>
          <w:tcPr>
            <w:tcW w:w="709" w:type="dxa"/>
            <w:shd w:val="clear" w:color="auto" w:fill="auto"/>
          </w:tcPr>
          <w:p w14:paraId="4FC6E9F6" w14:textId="77777777" w:rsidR="008E11B1" w:rsidRPr="00BD4B0A" w:rsidRDefault="008E11B1" w:rsidP="00FF7EE7">
            <w:pPr>
              <w:spacing w:after="0" w:line="240" w:lineRule="auto"/>
              <w:ind w:right="-351"/>
              <w:jc w:val="right"/>
              <w:rPr>
                <w:rFonts w:cs="Arial"/>
                <w:b/>
                <w:color w:val="FFFFFF"/>
                <w:lang w:val="sv-SE"/>
              </w:rPr>
            </w:pPr>
          </w:p>
        </w:tc>
      </w:tr>
    </w:tbl>
    <w:p w14:paraId="01DEDE68" w14:textId="4A0A34AE" w:rsidR="009D5C0B" w:rsidRPr="00BD4B0A" w:rsidRDefault="009D5C0B" w:rsidP="009D5C0B">
      <w:pPr>
        <w:pStyle w:val="ANNote"/>
        <w:ind w:right="-351"/>
        <w:rPr>
          <w:rFonts w:cs="Arial"/>
          <w:sz w:val="16"/>
          <w:szCs w:val="16"/>
          <w:lang w:val="sv-SE"/>
        </w:rPr>
      </w:pPr>
      <w:r w:rsidRPr="00BD4B0A">
        <w:rPr>
          <w:rFonts w:cs="Arial"/>
          <w:szCs w:val="16"/>
          <w:lang w:val="sv-SE"/>
        </w:rPr>
        <w:t xml:space="preserve">1 </w:t>
      </w:r>
      <w:r w:rsidRPr="00BD4B0A">
        <w:rPr>
          <w:rFonts w:cs="Arial"/>
          <w:lang w:val="sv-SE"/>
        </w:rPr>
        <w:t>Justerat rörelseresultat = rörelseresultat exklusive identifierade poster (tidigare benämnt EBIT)</w:t>
      </w:r>
    </w:p>
    <w:p w14:paraId="6E5B3790" w14:textId="3B4F862D" w:rsidR="006744C3" w:rsidRPr="00BD4B0A" w:rsidRDefault="009D5C0B" w:rsidP="00FF7EE7">
      <w:pPr>
        <w:pStyle w:val="ANNote"/>
        <w:ind w:right="-351"/>
        <w:rPr>
          <w:rFonts w:cs="Arial"/>
          <w:lang w:val="sv-SE"/>
        </w:rPr>
      </w:pPr>
      <w:r w:rsidRPr="00BD4B0A">
        <w:rPr>
          <w:rFonts w:cs="Arial"/>
          <w:lang w:val="sv-SE"/>
        </w:rPr>
        <w:t xml:space="preserve">2 </w:t>
      </w:r>
      <w:r w:rsidRPr="00BD4B0A">
        <w:rPr>
          <w:rFonts w:cs="Arial"/>
          <w:szCs w:val="16"/>
          <w:lang w:val="sv-SE"/>
        </w:rPr>
        <w:t>Vinstmarginal exklusive icke-fördelade kostnader är justerat rörelseresultat som procent av intäkterna exklusive icke-fördelade koncernkostnader</w:t>
      </w:r>
    </w:p>
    <w:p w14:paraId="15FC9F65" w14:textId="335ACD54" w:rsidR="00542B97" w:rsidRPr="00BD4B0A" w:rsidRDefault="009D5C0B" w:rsidP="00FF7EE7">
      <w:pPr>
        <w:pStyle w:val="ANNote"/>
        <w:ind w:right="-351"/>
        <w:rPr>
          <w:rFonts w:cs="Arial"/>
          <w:lang w:val="sv-SE"/>
        </w:rPr>
      </w:pPr>
      <w:r w:rsidRPr="00BD4B0A">
        <w:rPr>
          <w:rFonts w:cs="Arial"/>
          <w:szCs w:val="16"/>
          <w:lang w:val="sv-SE"/>
        </w:rPr>
        <w:t xml:space="preserve">3 </w:t>
      </w:r>
      <w:r w:rsidRPr="00BD4B0A">
        <w:rPr>
          <w:rFonts w:cs="Arial"/>
          <w:lang w:val="sv-SE"/>
        </w:rPr>
        <w:t xml:space="preserve">Konstanta valutaberäkningar exkluderar påverkan av fluktuationer av valutakurser </w:t>
      </w:r>
    </w:p>
    <w:p w14:paraId="1D1C26B9" w14:textId="54E205FF" w:rsidR="00C34948" w:rsidRPr="00BD4B0A" w:rsidRDefault="00C34948" w:rsidP="00FF7EE7">
      <w:pPr>
        <w:pStyle w:val="ANNote"/>
        <w:ind w:right="-351"/>
        <w:rPr>
          <w:rFonts w:cs="Arial"/>
          <w:szCs w:val="14"/>
          <w:lang w:val="sv-SE"/>
        </w:rPr>
      </w:pPr>
    </w:p>
    <w:p w14:paraId="5C064060" w14:textId="0EE093A1" w:rsidR="000C7A3F" w:rsidRDefault="000C7A3F" w:rsidP="00FF7EE7">
      <w:pPr>
        <w:spacing w:after="0" w:line="240" w:lineRule="auto"/>
        <w:ind w:right="-351"/>
        <w:rPr>
          <w:rFonts w:eastAsia="Arial" w:cs="Arial"/>
          <w:i/>
          <w:iCs/>
          <w:color w:val="000000"/>
          <w:sz w:val="18"/>
          <w:szCs w:val="20"/>
          <w:lang w:val="sv-SE"/>
        </w:rPr>
      </w:pPr>
      <w:r w:rsidRPr="00BD4B0A">
        <w:rPr>
          <w:rFonts w:eastAsia="Arial" w:cs="Arial"/>
          <w:i/>
          <w:iCs/>
          <w:color w:val="000000"/>
          <w:sz w:val="18"/>
          <w:szCs w:val="20"/>
          <w:lang w:val="sv-SE"/>
        </w:rPr>
        <w:lastRenderedPageBreak/>
        <w:t>Detta är ett offentligt tillkännagivande från AkzoNobel N.V. i enlighet med avsnitt 17, paragraf 1 i europeiska marknadsmissbruksförordningen (596/2014).</w:t>
      </w:r>
    </w:p>
    <w:p w14:paraId="588C332C" w14:textId="1593F4DB" w:rsidR="00757F29" w:rsidRDefault="00757F29" w:rsidP="00FF7EE7">
      <w:pPr>
        <w:spacing w:after="0" w:line="240" w:lineRule="auto"/>
        <w:ind w:right="-351"/>
        <w:rPr>
          <w:rFonts w:eastAsia="Arial" w:cs="Arial"/>
          <w:i/>
          <w:iCs/>
          <w:color w:val="000000"/>
          <w:sz w:val="18"/>
          <w:szCs w:val="20"/>
          <w:lang w:val="sv-SE"/>
        </w:rPr>
      </w:pPr>
    </w:p>
    <w:p w14:paraId="68252F2D" w14:textId="390F034C" w:rsidR="00757F29" w:rsidRDefault="00757F29" w:rsidP="00FF7EE7">
      <w:pPr>
        <w:spacing w:after="0" w:line="240" w:lineRule="auto"/>
        <w:ind w:right="-351"/>
        <w:rPr>
          <w:rFonts w:eastAsia="Arial" w:cs="Arial"/>
          <w:i/>
          <w:iCs/>
          <w:color w:val="000000"/>
          <w:sz w:val="18"/>
          <w:szCs w:val="20"/>
          <w:lang w:val="sv-SE"/>
        </w:rPr>
      </w:pPr>
    </w:p>
    <w:p w14:paraId="7B4BDA34" w14:textId="199F6CD2" w:rsidR="000C427B" w:rsidRPr="000C427B" w:rsidRDefault="000C427B" w:rsidP="000C427B">
      <w:pPr>
        <w:spacing w:after="0" w:line="240" w:lineRule="auto"/>
        <w:ind w:right="-351"/>
        <w:rPr>
          <w:rFonts w:eastAsia="Arial" w:cs="Arial"/>
          <w:iCs/>
          <w:color w:val="000000"/>
          <w:sz w:val="14"/>
          <w:szCs w:val="14"/>
          <w:lang w:val="sv-SE"/>
        </w:rPr>
      </w:pPr>
      <w:r>
        <w:rPr>
          <w:rFonts w:eastAsia="Arial" w:cs="Arial"/>
          <w:b/>
          <w:iCs/>
          <w:color w:val="000000"/>
          <w:sz w:val="14"/>
          <w:szCs w:val="14"/>
          <w:u w:val="single"/>
          <w:lang w:val="sv-SE"/>
        </w:rPr>
        <w:t>Om</w:t>
      </w:r>
      <w:r w:rsidR="00A8423F">
        <w:rPr>
          <w:rFonts w:eastAsia="Arial" w:cs="Arial"/>
          <w:b/>
          <w:iCs/>
          <w:color w:val="000000"/>
          <w:sz w:val="14"/>
          <w:szCs w:val="14"/>
          <w:u w:val="single"/>
          <w:lang w:val="sv-SE"/>
        </w:rPr>
        <w:t xml:space="preserve"> AkzoNobel</w:t>
      </w:r>
    </w:p>
    <w:p w14:paraId="27FF0317" w14:textId="77777777" w:rsidR="000C427B" w:rsidRPr="000C427B" w:rsidRDefault="000C427B" w:rsidP="000C427B">
      <w:pPr>
        <w:spacing w:after="0" w:line="240" w:lineRule="auto"/>
        <w:ind w:right="-351"/>
        <w:rPr>
          <w:rFonts w:eastAsia="Arial" w:cs="Arial"/>
          <w:iCs/>
          <w:color w:val="000000"/>
          <w:sz w:val="14"/>
          <w:szCs w:val="14"/>
          <w:lang w:val="sv-SE"/>
        </w:rPr>
      </w:pPr>
      <w:r w:rsidRPr="000C427B">
        <w:rPr>
          <w:rFonts w:eastAsia="Arial" w:cs="Arial"/>
          <w:iCs/>
          <w:color w:val="000000"/>
          <w:sz w:val="14"/>
          <w:szCs w:val="14"/>
          <w:lang w:val="sv-SE"/>
        </w:rPr>
        <w:t xml:space="preserve">Inom AkzoNobel är vi 34 500 engagerade medarbetare som tillsammans skapar förutsättningar för god livskvalitet och en inspirerande vardag. Vi är ett ledande globalt färgföretag som förser företag och konsumenter världen över med såväl färg som </w:t>
      </w:r>
      <w:proofErr w:type="spellStart"/>
      <w:r w:rsidRPr="000C427B">
        <w:rPr>
          <w:rFonts w:eastAsia="Arial" w:cs="Arial"/>
          <w:iCs/>
          <w:color w:val="000000"/>
          <w:sz w:val="14"/>
          <w:szCs w:val="14"/>
          <w:lang w:val="sv-SE"/>
        </w:rPr>
        <w:t>ytskydd</w:t>
      </w:r>
      <w:proofErr w:type="spellEnd"/>
      <w:r w:rsidRPr="000C427B">
        <w:rPr>
          <w:rFonts w:eastAsia="Arial" w:cs="Arial"/>
          <w:iCs/>
          <w:color w:val="000000"/>
          <w:sz w:val="14"/>
          <w:szCs w:val="14"/>
          <w:lang w:val="sv-SE"/>
        </w:rPr>
        <w:t>.</w:t>
      </w:r>
    </w:p>
    <w:p w14:paraId="7D26491E" w14:textId="77777777" w:rsidR="000C427B" w:rsidRPr="000C427B" w:rsidRDefault="000C427B" w:rsidP="000C427B">
      <w:pPr>
        <w:spacing w:after="0" w:line="240" w:lineRule="auto"/>
        <w:ind w:right="-351"/>
        <w:rPr>
          <w:rFonts w:eastAsia="Arial" w:cs="Arial"/>
          <w:iCs/>
          <w:color w:val="000000"/>
          <w:sz w:val="14"/>
          <w:szCs w:val="14"/>
          <w:lang w:val="sv-SE"/>
        </w:rPr>
      </w:pPr>
    </w:p>
    <w:p w14:paraId="72778C69" w14:textId="40CFF3D7" w:rsidR="00A8423F" w:rsidRPr="000C427B" w:rsidRDefault="000C427B" w:rsidP="000C427B">
      <w:pPr>
        <w:spacing w:after="0" w:line="240" w:lineRule="auto"/>
        <w:ind w:right="-351"/>
        <w:rPr>
          <w:rFonts w:eastAsia="Arial" w:cs="Arial"/>
          <w:iCs/>
          <w:color w:val="000000"/>
          <w:sz w:val="14"/>
          <w:szCs w:val="14"/>
          <w:lang w:val="sv-SE"/>
        </w:rPr>
      </w:pPr>
      <w:r w:rsidRPr="000C427B">
        <w:rPr>
          <w:rFonts w:eastAsia="Arial" w:cs="Arial"/>
          <w:iCs/>
          <w:color w:val="000000"/>
          <w:sz w:val="14"/>
          <w:szCs w:val="14"/>
          <w:lang w:val="sv-SE"/>
        </w:rPr>
        <w:t xml:space="preserve">Idag är vi verksamma i över 150 länder och vårt huvudkontor ligger i Amsterdam, Nederländerna. Våra innovativa produkter bär på en stolt historia och är skapade för att göra livet enklare för människor i en snabbt föränderlig värld. Bland våra välkända varumärken finns International, </w:t>
      </w:r>
      <w:proofErr w:type="spellStart"/>
      <w:r w:rsidRPr="000C427B">
        <w:rPr>
          <w:rFonts w:eastAsia="Arial" w:cs="Arial"/>
          <w:iCs/>
          <w:color w:val="000000"/>
          <w:sz w:val="14"/>
          <w:szCs w:val="14"/>
          <w:lang w:val="sv-SE"/>
        </w:rPr>
        <w:t>Cuprinol</w:t>
      </w:r>
      <w:proofErr w:type="spellEnd"/>
      <w:r w:rsidRPr="000C427B">
        <w:rPr>
          <w:rFonts w:eastAsia="Arial" w:cs="Arial"/>
          <w:iCs/>
          <w:color w:val="000000"/>
          <w:sz w:val="14"/>
          <w:szCs w:val="14"/>
          <w:lang w:val="sv-SE"/>
        </w:rPr>
        <w:t xml:space="preserve">, Nordsjö och </w:t>
      </w:r>
      <w:proofErr w:type="spellStart"/>
      <w:r w:rsidRPr="000C427B">
        <w:rPr>
          <w:rFonts w:eastAsia="Arial" w:cs="Arial"/>
          <w:iCs/>
          <w:color w:val="000000"/>
          <w:sz w:val="14"/>
          <w:szCs w:val="14"/>
          <w:lang w:val="sv-SE"/>
        </w:rPr>
        <w:t>Sikkens</w:t>
      </w:r>
      <w:proofErr w:type="spellEnd"/>
      <w:r w:rsidRPr="000C427B">
        <w:rPr>
          <w:rFonts w:eastAsia="Arial" w:cs="Arial"/>
          <w:iCs/>
          <w:color w:val="000000"/>
          <w:sz w:val="14"/>
          <w:szCs w:val="14"/>
          <w:lang w:val="sv-SE"/>
        </w:rPr>
        <w:t>. Vi rankas återkommande som ledande inom hållbarhet i vår bransch och drivs av att bidra till välmående städer och levande samhällen genom att skapa en färgstark och trygg värld där livet blir bättre genom det vi gör.</w:t>
      </w:r>
    </w:p>
    <w:p w14:paraId="4CC875CE" w14:textId="77777777" w:rsidR="00A8423F" w:rsidRPr="00A8423F" w:rsidRDefault="00A8423F" w:rsidP="00FF7EE7">
      <w:pPr>
        <w:spacing w:after="0" w:line="240" w:lineRule="auto"/>
        <w:ind w:right="-351"/>
        <w:rPr>
          <w:rFonts w:eastAsia="Arial" w:cs="Arial"/>
          <w:b/>
          <w:iCs/>
          <w:color w:val="000000"/>
          <w:sz w:val="14"/>
          <w:szCs w:val="14"/>
          <w:u w:val="single"/>
          <w:lang w:val="sv-SE"/>
        </w:rPr>
      </w:pPr>
    </w:p>
    <w:p w14:paraId="279254FA" w14:textId="12531C73" w:rsidR="00757F29" w:rsidRPr="007120E6" w:rsidRDefault="00742F69" w:rsidP="00FF7EE7">
      <w:pPr>
        <w:spacing w:after="0" w:line="240" w:lineRule="auto"/>
        <w:ind w:right="-351"/>
        <w:rPr>
          <w:rFonts w:eastAsia="Arial" w:cs="Arial"/>
          <w:i/>
          <w:color w:val="000000"/>
          <w:sz w:val="18"/>
          <w:szCs w:val="20"/>
        </w:rPr>
      </w:pPr>
      <w:bookmarkStart w:id="7" w:name="_GoBack"/>
      <w:r w:rsidRPr="00742F69">
        <w:rPr>
          <w:noProof/>
        </w:rPr>
        <w:drawing>
          <wp:inline distT="0" distB="0" distL="0" distR="0" wp14:anchorId="33BB462A" wp14:editId="12C65AEB">
            <wp:extent cx="5720715" cy="153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0715" cy="1532255"/>
                    </a:xfrm>
                    <a:prstGeom prst="rect">
                      <a:avLst/>
                    </a:prstGeom>
                    <a:noFill/>
                    <a:ln>
                      <a:noFill/>
                    </a:ln>
                  </pic:spPr>
                </pic:pic>
              </a:graphicData>
            </a:graphic>
          </wp:inline>
        </w:drawing>
      </w:r>
      <w:bookmarkEnd w:id="7"/>
    </w:p>
    <w:p w14:paraId="76E0936A" w14:textId="77777777" w:rsidR="00BA39B3" w:rsidRPr="00BD4B0A" w:rsidRDefault="00BA39B3" w:rsidP="00FF7EE7">
      <w:pPr>
        <w:pStyle w:val="ANNote"/>
        <w:ind w:right="-351"/>
        <w:rPr>
          <w:rFonts w:cs="Arial"/>
          <w:b/>
          <w:bCs/>
          <w:szCs w:val="20"/>
          <w:u w:val="single"/>
          <w:lang w:val="sv-SE"/>
        </w:rPr>
      </w:pPr>
    </w:p>
    <w:sectPr w:rsidR="00BA39B3" w:rsidRPr="00BD4B0A" w:rsidSect="006744C3">
      <w:headerReference w:type="default" r:id="rId13"/>
      <w:footerReference w:type="default" r:id="rId14"/>
      <w:headerReference w:type="first" r:id="rId15"/>
      <w:footerReference w:type="first" r:id="rId16"/>
      <w:pgSz w:w="11906" w:h="16838" w:code="9"/>
      <w:pgMar w:top="2430" w:right="1196" w:bottom="1080"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3E52E" w14:textId="77777777" w:rsidR="00183816" w:rsidRDefault="00183816" w:rsidP="002E6499">
      <w:pPr>
        <w:spacing w:after="0"/>
      </w:pPr>
      <w:r>
        <w:separator/>
      </w:r>
    </w:p>
  </w:endnote>
  <w:endnote w:type="continuationSeparator" w:id="0">
    <w:p w14:paraId="3A6252D4" w14:textId="77777777" w:rsidR="00183816" w:rsidRDefault="00183816" w:rsidP="002E6499">
      <w:pPr>
        <w:spacing w:after="0"/>
      </w:pPr>
      <w:r>
        <w:continuationSeparator/>
      </w:r>
    </w:p>
  </w:endnote>
  <w:endnote w:type="continuationNotice" w:id="1">
    <w:p w14:paraId="3406BD14" w14:textId="77777777" w:rsidR="00183816" w:rsidRDefault="00183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Times 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47861"/>
      <w:docPartObj>
        <w:docPartGallery w:val="Page Numbers (Bottom of Page)"/>
        <w:docPartUnique/>
      </w:docPartObj>
    </w:sdtPr>
    <w:sdtEndPr/>
    <w:sdtContent>
      <w:p w14:paraId="5939ECE9" w14:textId="77777777" w:rsidR="00D55789" w:rsidRDefault="00D55789" w:rsidP="00E71A66">
        <w:pPr>
          <w:pStyle w:val="ANPagenumber"/>
          <w:framePr w:wrap="around"/>
        </w:pPr>
        <w:r>
          <w:rPr>
            <w:lang w:val="en"/>
          </w:rPr>
          <w:fldChar w:fldCharType="begin"/>
        </w:r>
        <w:r>
          <w:rPr>
            <w:lang w:val="en"/>
          </w:rPr>
          <w:instrText xml:space="preserve"> PAGE   \* MERGEFORMAT </w:instrText>
        </w:r>
        <w:r>
          <w:rPr>
            <w:lang w:val="en"/>
          </w:rPr>
          <w:fldChar w:fldCharType="separate"/>
        </w:r>
        <w:r>
          <w:rPr>
            <w:noProof/>
            <w:lang w:val="en"/>
          </w:rPr>
          <w:t>3</w:t>
        </w:r>
        <w:r>
          <w:rPr>
            <w:noProof/>
            <w:lang w:val="en"/>
          </w:rPr>
          <w:fldChar w:fldCharType="end"/>
        </w:r>
      </w:p>
    </w:sdtContent>
  </w:sdt>
  <w:p w14:paraId="1E4297B7" w14:textId="77777777" w:rsidR="00D55789" w:rsidRDefault="00D55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42D" w14:textId="77777777" w:rsidR="00D55789" w:rsidRDefault="00D55789">
    <w:pPr>
      <w:pStyle w:val="Footer"/>
    </w:pPr>
    <w:r>
      <w:rPr>
        <w:noProof/>
        <w:lang w:val="en"/>
      </w:rPr>
      <w:drawing>
        <wp:anchor distT="0" distB="0" distL="114300" distR="114300" simplePos="0" relativeHeight="251658240" behindDoc="1" locked="0" layoutInCell="0" allowOverlap="1" wp14:anchorId="66F4DA8B" wp14:editId="5A70EAAD">
          <wp:simplePos x="0" y="0"/>
          <wp:positionH relativeFrom="page">
            <wp:posOffset>-1905</wp:posOffset>
          </wp:positionH>
          <wp:positionV relativeFrom="page">
            <wp:posOffset>552450</wp:posOffset>
          </wp:positionV>
          <wp:extent cx="7561580" cy="572770"/>
          <wp:effectExtent l="0" t="0" r="1270" b="0"/>
          <wp:wrapNone/>
          <wp:docPr id="28" name="Picture 28"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7F254" w14:textId="77777777" w:rsidR="00183816" w:rsidRDefault="00183816" w:rsidP="002E6499">
      <w:pPr>
        <w:spacing w:after="0"/>
      </w:pPr>
      <w:r>
        <w:separator/>
      </w:r>
    </w:p>
  </w:footnote>
  <w:footnote w:type="continuationSeparator" w:id="0">
    <w:p w14:paraId="1433C235" w14:textId="77777777" w:rsidR="00183816" w:rsidRDefault="00183816" w:rsidP="002E6499">
      <w:pPr>
        <w:spacing w:after="0"/>
      </w:pPr>
      <w:r>
        <w:continuationSeparator/>
      </w:r>
    </w:p>
  </w:footnote>
  <w:footnote w:type="continuationNotice" w:id="1">
    <w:p w14:paraId="5430EE58" w14:textId="77777777" w:rsidR="00183816" w:rsidRDefault="001838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4FCD" w14:textId="77777777" w:rsidR="00D55789" w:rsidRDefault="00D55789" w:rsidP="007917FF">
    <w:pPr>
      <w:pStyle w:val="Header"/>
      <w:tabs>
        <w:tab w:val="clear" w:pos="4536"/>
        <w:tab w:val="clear" w:pos="9072"/>
        <w:tab w:val="left" w:pos="615"/>
        <w:tab w:val="left" w:pos="735"/>
      </w:tabs>
    </w:pPr>
    <w:r>
      <w:rPr>
        <w:noProof/>
        <w:lang w:val="en"/>
      </w:rPr>
      <w:drawing>
        <wp:anchor distT="0" distB="0" distL="114300" distR="114300" simplePos="0" relativeHeight="251656192" behindDoc="1" locked="1" layoutInCell="0" allowOverlap="1" wp14:anchorId="1A2D4227" wp14:editId="554F86D7">
          <wp:simplePos x="0" y="0"/>
          <wp:positionH relativeFrom="page">
            <wp:posOffset>20320</wp:posOffset>
          </wp:positionH>
          <wp:positionV relativeFrom="page">
            <wp:posOffset>558165</wp:posOffset>
          </wp:positionV>
          <wp:extent cx="7561580" cy="572770"/>
          <wp:effectExtent l="0" t="0" r="1270" b="0"/>
          <wp:wrapNone/>
          <wp:docPr id="27"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r>
      <w:rPr>
        <w:lang w:val="en"/>
      </w:rPr>
      <w:tab/>
    </w:r>
    <w:r>
      <w:rPr>
        <w:lang w:val="en"/>
      </w:rPr>
      <w:tab/>
    </w:r>
  </w:p>
  <w:p w14:paraId="03CD168F" w14:textId="77777777" w:rsidR="00D55789" w:rsidRDefault="00D557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3458" w14:textId="77777777" w:rsidR="00D55789" w:rsidRPr="00E954E7" w:rsidRDefault="00D55789" w:rsidP="004678D1">
    <w:pPr>
      <w:pStyle w:val="ANLegalEntity"/>
      <w:framePr w:wrap="around" w:y="1126"/>
    </w:pPr>
    <w:r>
      <w:rPr>
        <w:bCs/>
        <w:lang w:val="en"/>
      </w:rPr>
      <w:t>Akzo Nobel N.V.</w:t>
    </w:r>
  </w:p>
  <w:p w14:paraId="1677BCF5" w14:textId="77777777" w:rsidR="00D55789" w:rsidRPr="00E954E7" w:rsidRDefault="00D55789" w:rsidP="004678D1">
    <w:pPr>
      <w:pStyle w:val="ANDepartment"/>
      <w:framePr w:wrap="around" w:y="1126"/>
    </w:pPr>
  </w:p>
  <w:p w14:paraId="0A98C433" w14:textId="77777777" w:rsidR="00D55789" w:rsidRPr="00E954E7" w:rsidRDefault="00D55789" w:rsidP="00847B10">
    <w:pPr>
      <w:pStyle w:val="ANTitle"/>
      <w:framePr w:w="10066" w:h="541" w:hRule="exact" w:wrap="around" w:y="1845"/>
    </w:pPr>
    <w:r>
      <w:rPr>
        <w:bCs/>
        <w:lang w:val="en"/>
      </w:rPr>
      <w:t xml:space="preserve">Pressmeddelande </w:t>
    </w:r>
  </w:p>
  <w:p w14:paraId="21AB7DB2" w14:textId="77777777" w:rsidR="00D55789" w:rsidRPr="00F97195" w:rsidRDefault="00D55789"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rPr>
    </w:pPr>
    <w:r>
      <w:rPr>
        <w:rFonts w:cs="Arial"/>
        <w:noProof/>
        <w:snapToGrid w:val="0"/>
        <w:color w:val="005192"/>
        <w:sz w:val="16"/>
        <w:szCs w:val="16"/>
        <w:lang w:val="en"/>
      </w:rPr>
      <w:t>Christian Neefestraat 2</w:t>
    </w:r>
    <w:r>
      <w:rPr>
        <w:lang w:val="en"/>
      </w:rPr>
      <w:tab/>
    </w:r>
    <w:r>
      <w:rPr>
        <w:rFonts w:cs="Arial"/>
        <w:noProof/>
        <w:snapToGrid w:val="0"/>
        <w:color w:val="005192"/>
        <w:sz w:val="16"/>
        <w:szCs w:val="16"/>
        <w:lang w:val="en"/>
      </w:rPr>
      <w:t>Tfn</w:t>
    </w:r>
    <w:r>
      <w:rPr>
        <w:rFonts w:cs="Arial"/>
        <w:snapToGrid w:val="0"/>
        <w:color w:val="005192"/>
        <w:sz w:val="16"/>
        <w:szCs w:val="16"/>
        <w:lang w:val="en"/>
      </w:rPr>
      <w:tab/>
      <w:t>+31 (0)88 969 78 33</w:t>
    </w:r>
  </w:p>
  <w:p w14:paraId="4B01CCBC" w14:textId="77777777" w:rsidR="00D55789" w:rsidRPr="00F97195" w:rsidRDefault="00D55789"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rPr>
    </w:pPr>
    <w:r>
      <w:rPr>
        <w:rFonts w:eastAsia="Times New Roman" w:cs="Arial"/>
        <w:noProof/>
        <w:snapToGrid w:val="0"/>
        <w:color w:val="005192"/>
        <w:sz w:val="16"/>
        <w:szCs w:val="16"/>
        <w:lang w:val="en"/>
      </w:rPr>
      <w:t>1077 WW Amsterdam</w:t>
    </w:r>
    <w:r>
      <w:rPr>
        <w:rFonts w:eastAsia="Times New Roman" w:cs="Arial"/>
        <w:noProof/>
        <w:snapToGrid w:val="0"/>
        <w:color w:val="005192"/>
        <w:sz w:val="16"/>
        <w:szCs w:val="16"/>
        <w:lang w:val="en"/>
      </w:rPr>
      <w:tab/>
      <w:t>E-post</w:t>
    </w:r>
    <w:r>
      <w:rPr>
        <w:rFonts w:eastAsia="Times New Roman" w:cs="Arial"/>
        <w:noProof/>
        <w:snapToGrid w:val="0"/>
        <w:color w:val="005192"/>
        <w:sz w:val="16"/>
        <w:szCs w:val="16"/>
        <w:lang w:val="en"/>
      </w:rPr>
      <w:tab/>
      <w:t>media.relations@akzonobel.com</w:t>
    </w:r>
  </w:p>
  <w:p w14:paraId="1F18358B" w14:textId="77777777" w:rsidR="00D55789" w:rsidRPr="00F97195" w:rsidRDefault="00D55789"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rPr>
    </w:pPr>
    <w:r>
      <w:rPr>
        <w:rFonts w:eastAsia="Times New Roman" w:cs="Arial"/>
        <w:noProof/>
        <w:snapToGrid w:val="0"/>
        <w:color w:val="005192"/>
        <w:sz w:val="16"/>
        <w:szCs w:val="16"/>
        <w:lang w:val="en"/>
      </w:rPr>
      <w:t>P.O. Box 75730</w:t>
    </w:r>
    <w:r>
      <w:rPr>
        <w:rFonts w:eastAsia="Times New Roman" w:cs="Arial"/>
        <w:noProof/>
        <w:snapToGrid w:val="0"/>
        <w:color w:val="005192"/>
        <w:sz w:val="16"/>
        <w:szCs w:val="16"/>
        <w:lang w:val="en"/>
      </w:rPr>
      <w:tab/>
      <w:t>www.akzonobel.com</w:t>
    </w:r>
  </w:p>
  <w:p w14:paraId="7ECAE8E3" w14:textId="77777777" w:rsidR="00D55789" w:rsidRPr="00F97195" w:rsidRDefault="00D55789"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rPr>
    </w:pPr>
    <w:r>
      <w:rPr>
        <w:rFonts w:cs="Arial"/>
        <w:noProof/>
        <w:snapToGrid w:val="0"/>
        <w:color w:val="005192"/>
        <w:sz w:val="16"/>
        <w:szCs w:val="16"/>
        <w:lang w:val="en"/>
      </w:rPr>
      <w:t>1070 AS Amsterdam</w:t>
    </w:r>
    <w:r>
      <w:rPr>
        <w:lang w:val="en"/>
      </w:rPr>
      <w:tab/>
    </w:r>
  </w:p>
  <w:p w14:paraId="49555309" w14:textId="77777777" w:rsidR="00D55789" w:rsidRPr="00F97195" w:rsidRDefault="00D55789"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rPr>
    </w:pPr>
    <w:r>
      <w:rPr>
        <w:rFonts w:eastAsia="Times New Roman" w:cs="Arial"/>
        <w:noProof/>
        <w:snapToGrid w:val="0"/>
        <w:color w:val="005192"/>
        <w:sz w:val="16"/>
        <w:szCs w:val="16"/>
        <w:lang w:val="en"/>
      </w:rPr>
      <w:t>Nederländerna</w:t>
    </w:r>
  </w:p>
  <w:p w14:paraId="695F62CC" w14:textId="77777777" w:rsidR="00D55789" w:rsidRPr="004678D1" w:rsidRDefault="00D55789" w:rsidP="00E954E7">
    <w:pPr>
      <w:pStyle w:val="ANRegister"/>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932"/>
    <w:multiLevelType w:val="hybridMultilevel"/>
    <w:tmpl w:val="7DA47842"/>
    <w:lvl w:ilvl="0" w:tplc="2682BDF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D631A"/>
    <w:multiLevelType w:val="hybridMultilevel"/>
    <w:tmpl w:val="2A9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50BF4"/>
    <w:multiLevelType w:val="hybridMultilevel"/>
    <w:tmpl w:val="90D6E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A6D25"/>
    <w:multiLevelType w:val="hybridMultilevel"/>
    <w:tmpl w:val="F1F83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BF764A"/>
    <w:multiLevelType w:val="hybridMultilevel"/>
    <w:tmpl w:val="9A624C8A"/>
    <w:lvl w:ilvl="0" w:tplc="2682BDF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2714C"/>
    <w:multiLevelType w:val="hybridMultilevel"/>
    <w:tmpl w:val="256A9970"/>
    <w:lvl w:ilvl="0" w:tplc="2682BDF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A593A"/>
    <w:multiLevelType w:val="hybridMultilevel"/>
    <w:tmpl w:val="AE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0458A"/>
    <w:multiLevelType w:val="hybridMultilevel"/>
    <w:tmpl w:val="BB1E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13283"/>
    <w:multiLevelType w:val="hybridMultilevel"/>
    <w:tmpl w:val="312E134A"/>
    <w:lvl w:ilvl="0" w:tplc="2682BDF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62B24"/>
    <w:multiLevelType w:val="hybridMultilevel"/>
    <w:tmpl w:val="F9EEA0E4"/>
    <w:lvl w:ilvl="0" w:tplc="42703C8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786C237C">
      <w:start w:val="155"/>
      <w:numFmt w:val="bullet"/>
      <w:lvlText w:val="–"/>
      <w:lvlJc w:val="left"/>
      <w:pPr>
        <w:tabs>
          <w:tab w:val="num" w:pos="1800"/>
        </w:tabs>
        <w:ind w:left="1800" w:hanging="360"/>
      </w:pPr>
      <w:rPr>
        <w:rFonts w:ascii="Arial" w:hAnsi="Arial" w:hint="default"/>
      </w:rPr>
    </w:lvl>
    <w:lvl w:ilvl="3" w:tplc="BFE098E0" w:tentative="1">
      <w:start w:val="1"/>
      <w:numFmt w:val="bullet"/>
      <w:lvlText w:val=""/>
      <w:lvlJc w:val="left"/>
      <w:pPr>
        <w:tabs>
          <w:tab w:val="num" w:pos="2520"/>
        </w:tabs>
        <w:ind w:left="2520" w:hanging="360"/>
      </w:pPr>
      <w:rPr>
        <w:rFonts w:ascii="Symbol" w:hAnsi="Symbol" w:hint="default"/>
      </w:rPr>
    </w:lvl>
    <w:lvl w:ilvl="4" w:tplc="45B23FFA" w:tentative="1">
      <w:start w:val="1"/>
      <w:numFmt w:val="bullet"/>
      <w:lvlText w:val=""/>
      <w:lvlJc w:val="left"/>
      <w:pPr>
        <w:tabs>
          <w:tab w:val="num" w:pos="3240"/>
        </w:tabs>
        <w:ind w:left="3240" w:hanging="360"/>
      </w:pPr>
      <w:rPr>
        <w:rFonts w:ascii="Symbol" w:hAnsi="Symbol" w:hint="default"/>
      </w:rPr>
    </w:lvl>
    <w:lvl w:ilvl="5" w:tplc="A5367C0E" w:tentative="1">
      <w:start w:val="1"/>
      <w:numFmt w:val="bullet"/>
      <w:lvlText w:val=""/>
      <w:lvlJc w:val="left"/>
      <w:pPr>
        <w:tabs>
          <w:tab w:val="num" w:pos="3960"/>
        </w:tabs>
        <w:ind w:left="3960" w:hanging="360"/>
      </w:pPr>
      <w:rPr>
        <w:rFonts w:ascii="Symbol" w:hAnsi="Symbol" w:hint="default"/>
      </w:rPr>
    </w:lvl>
    <w:lvl w:ilvl="6" w:tplc="BCAC9F52" w:tentative="1">
      <w:start w:val="1"/>
      <w:numFmt w:val="bullet"/>
      <w:lvlText w:val=""/>
      <w:lvlJc w:val="left"/>
      <w:pPr>
        <w:tabs>
          <w:tab w:val="num" w:pos="4680"/>
        </w:tabs>
        <w:ind w:left="4680" w:hanging="360"/>
      </w:pPr>
      <w:rPr>
        <w:rFonts w:ascii="Symbol" w:hAnsi="Symbol" w:hint="default"/>
      </w:rPr>
    </w:lvl>
    <w:lvl w:ilvl="7" w:tplc="81926396" w:tentative="1">
      <w:start w:val="1"/>
      <w:numFmt w:val="bullet"/>
      <w:lvlText w:val=""/>
      <w:lvlJc w:val="left"/>
      <w:pPr>
        <w:tabs>
          <w:tab w:val="num" w:pos="5400"/>
        </w:tabs>
        <w:ind w:left="5400" w:hanging="360"/>
      </w:pPr>
      <w:rPr>
        <w:rFonts w:ascii="Symbol" w:hAnsi="Symbol" w:hint="default"/>
      </w:rPr>
    </w:lvl>
    <w:lvl w:ilvl="8" w:tplc="0CE2BDC4"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748F53D2"/>
    <w:multiLevelType w:val="hybridMultilevel"/>
    <w:tmpl w:val="A9E8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1"/>
  </w:num>
  <w:num w:numId="6">
    <w:abstractNumId w:val="10"/>
  </w:num>
  <w:num w:numId="7">
    <w:abstractNumId w:val="6"/>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D7"/>
    <w:rsid w:val="000020F3"/>
    <w:rsid w:val="0000323A"/>
    <w:rsid w:val="00007280"/>
    <w:rsid w:val="0001053E"/>
    <w:rsid w:val="00015AF3"/>
    <w:rsid w:val="000172F6"/>
    <w:rsid w:val="00020F0D"/>
    <w:rsid w:val="00021E33"/>
    <w:rsid w:val="00022973"/>
    <w:rsid w:val="00022F5B"/>
    <w:rsid w:val="000246F5"/>
    <w:rsid w:val="000266BE"/>
    <w:rsid w:val="00027BA0"/>
    <w:rsid w:val="0003131C"/>
    <w:rsid w:val="00032B15"/>
    <w:rsid w:val="00032D64"/>
    <w:rsid w:val="00033D84"/>
    <w:rsid w:val="0003438F"/>
    <w:rsid w:val="00034E5D"/>
    <w:rsid w:val="00035F28"/>
    <w:rsid w:val="00036238"/>
    <w:rsid w:val="00036F7E"/>
    <w:rsid w:val="00040106"/>
    <w:rsid w:val="00040118"/>
    <w:rsid w:val="000424D3"/>
    <w:rsid w:val="00043B65"/>
    <w:rsid w:val="0004428D"/>
    <w:rsid w:val="000442F7"/>
    <w:rsid w:val="00044569"/>
    <w:rsid w:val="00051AB2"/>
    <w:rsid w:val="00051E21"/>
    <w:rsid w:val="000524E8"/>
    <w:rsid w:val="00053333"/>
    <w:rsid w:val="00054312"/>
    <w:rsid w:val="000545BB"/>
    <w:rsid w:val="00054CAF"/>
    <w:rsid w:val="00056048"/>
    <w:rsid w:val="0005787E"/>
    <w:rsid w:val="00057EB3"/>
    <w:rsid w:val="00057F9D"/>
    <w:rsid w:val="00061B39"/>
    <w:rsid w:val="00061F00"/>
    <w:rsid w:val="00062EAD"/>
    <w:rsid w:val="0006337C"/>
    <w:rsid w:val="0006356B"/>
    <w:rsid w:val="00063D8F"/>
    <w:rsid w:val="000646D6"/>
    <w:rsid w:val="000646ED"/>
    <w:rsid w:val="00064A0F"/>
    <w:rsid w:val="00065580"/>
    <w:rsid w:val="000669F9"/>
    <w:rsid w:val="00066A92"/>
    <w:rsid w:val="00066F06"/>
    <w:rsid w:val="00067569"/>
    <w:rsid w:val="00070711"/>
    <w:rsid w:val="00071346"/>
    <w:rsid w:val="000724E7"/>
    <w:rsid w:val="00072526"/>
    <w:rsid w:val="0007314C"/>
    <w:rsid w:val="00074FC3"/>
    <w:rsid w:val="000751CB"/>
    <w:rsid w:val="00075279"/>
    <w:rsid w:val="0007684C"/>
    <w:rsid w:val="00076B74"/>
    <w:rsid w:val="0008073E"/>
    <w:rsid w:val="00080B6F"/>
    <w:rsid w:val="00081684"/>
    <w:rsid w:val="00084411"/>
    <w:rsid w:val="00085BB5"/>
    <w:rsid w:val="00087AD4"/>
    <w:rsid w:val="000922D5"/>
    <w:rsid w:val="0009232A"/>
    <w:rsid w:val="000938DD"/>
    <w:rsid w:val="000951D1"/>
    <w:rsid w:val="000958F2"/>
    <w:rsid w:val="00095A44"/>
    <w:rsid w:val="00095A6D"/>
    <w:rsid w:val="000972FA"/>
    <w:rsid w:val="000A15AC"/>
    <w:rsid w:val="000A25F9"/>
    <w:rsid w:val="000A33A6"/>
    <w:rsid w:val="000A3B2D"/>
    <w:rsid w:val="000A3FA5"/>
    <w:rsid w:val="000A42B9"/>
    <w:rsid w:val="000A4F4A"/>
    <w:rsid w:val="000B02DE"/>
    <w:rsid w:val="000B16C2"/>
    <w:rsid w:val="000B236E"/>
    <w:rsid w:val="000B3A31"/>
    <w:rsid w:val="000B3C7F"/>
    <w:rsid w:val="000B3E5C"/>
    <w:rsid w:val="000B3E65"/>
    <w:rsid w:val="000B4554"/>
    <w:rsid w:val="000B6B43"/>
    <w:rsid w:val="000B6E9F"/>
    <w:rsid w:val="000B7258"/>
    <w:rsid w:val="000C0D40"/>
    <w:rsid w:val="000C178E"/>
    <w:rsid w:val="000C1C62"/>
    <w:rsid w:val="000C1DA8"/>
    <w:rsid w:val="000C1E38"/>
    <w:rsid w:val="000C230D"/>
    <w:rsid w:val="000C427B"/>
    <w:rsid w:val="000C461B"/>
    <w:rsid w:val="000C5421"/>
    <w:rsid w:val="000C5C38"/>
    <w:rsid w:val="000C5DC9"/>
    <w:rsid w:val="000C6782"/>
    <w:rsid w:val="000C6BDC"/>
    <w:rsid w:val="000C7A3F"/>
    <w:rsid w:val="000C7CE9"/>
    <w:rsid w:val="000C7D47"/>
    <w:rsid w:val="000D11B0"/>
    <w:rsid w:val="000D1AEA"/>
    <w:rsid w:val="000D259B"/>
    <w:rsid w:val="000D3595"/>
    <w:rsid w:val="000D552F"/>
    <w:rsid w:val="000D7397"/>
    <w:rsid w:val="000E2A4B"/>
    <w:rsid w:val="000E31A8"/>
    <w:rsid w:val="000E407C"/>
    <w:rsid w:val="000E5990"/>
    <w:rsid w:val="000E599D"/>
    <w:rsid w:val="000E647C"/>
    <w:rsid w:val="000E6926"/>
    <w:rsid w:val="000E7C62"/>
    <w:rsid w:val="000F0FC8"/>
    <w:rsid w:val="000F1525"/>
    <w:rsid w:val="000F2F51"/>
    <w:rsid w:val="000F32A3"/>
    <w:rsid w:val="000F43DE"/>
    <w:rsid w:val="000F56B9"/>
    <w:rsid w:val="000F58C8"/>
    <w:rsid w:val="000F7A52"/>
    <w:rsid w:val="001006B3"/>
    <w:rsid w:val="00101A31"/>
    <w:rsid w:val="00101F5B"/>
    <w:rsid w:val="00102141"/>
    <w:rsid w:val="00103655"/>
    <w:rsid w:val="0010640D"/>
    <w:rsid w:val="00106A98"/>
    <w:rsid w:val="00110F7D"/>
    <w:rsid w:val="0011155C"/>
    <w:rsid w:val="00111833"/>
    <w:rsid w:val="001119FB"/>
    <w:rsid w:val="00111EA7"/>
    <w:rsid w:val="0011223F"/>
    <w:rsid w:val="00112792"/>
    <w:rsid w:val="00114D41"/>
    <w:rsid w:val="001173A5"/>
    <w:rsid w:val="00117D28"/>
    <w:rsid w:val="00120DBB"/>
    <w:rsid w:val="00121EEC"/>
    <w:rsid w:val="00122861"/>
    <w:rsid w:val="00122C0A"/>
    <w:rsid w:val="00123DC8"/>
    <w:rsid w:val="00124C58"/>
    <w:rsid w:val="001254E9"/>
    <w:rsid w:val="00126204"/>
    <w:rsid w:val="001265A6"/>
    <w:rsid w:val="00126898"/>
    <w:rsid w:val="00127053"/>
    <w:rsid w:val="00134159"/>
    <w:rsid w:val="00134526"/>
    <w:rsid w:val="00136B38"/>
    <w:rsid w:val="0014071D"/>
    <w:rsid w:val="001414FA"/>
    <w:rsid w:val="00143C44"/>
    <w:rsid w:val="00144218"/>
    <w:rsid w:val="001445B5"/>
    <w:rsid w:val="00144782"/>
    <w:rsid w:val="001455E3"/>
    <w:rsid w:val="00146266"/>
    <w:rsid w:val="00146BED"/>
    <w:rsid w:val="001512DB"/>
    <w:rsid w:val="00151603"/>
    <w:rsid w:val="001529B1"/>
    <w:rsid w:val="00153E92"/>
    <w:rsid w:val="00155517"/>
    <w:rsid w:val="001568CB"/>
    <w:rsid w:val="00157467"/>
    <w:rsid w:val="00157980"/>
    <w:rsid w:val="001606C6"/>
    <w:rsid w:val="0016276B"/>
    <w:rsid w:val="00162AF7"/>
    <w:rsid w:val="00163100"/>
    <w:rsid w:val="001641F9"/>
    <w:rsid w:val="00165C4E"/>
    <w:rsid w:val="00167614"/>
    <w:rsid w:val="0016773F"/>
    <w:rsid w:val="001727DB"/>
    <w:rsid w:val="00172E23"/>
    <w:rsid w:val="00173177"/>
    <w:rsid w:val="001815A6"/>
    <w:rsid w:val="001818B7"/>
    <w:rsid w:val="001824C9"/>
    <w:rsid w:val="00182A38"/>
    <w:rsid w:val="00183816"/>
    <w:rsid w:val="00183880"/>
    <w:rsid w:val="00183977"/>
    <w:rsid w:val="00185187"/>
    <w:rsid w:val="00185863"/>
    <w:rsid w:val="001869EA"/>
    <w:rsid w:val="00190EAB"/>
    <w:rsid w:val="001929ED"/>
    <w:rsid w:val="00192ED4"/>
    <w:rsid w:val="00196184"/>
    <w:rsid w:val="00197518"/>
    <w:rsid w:val="001A1269"/>
    <w:rsid w:val="001A12FF"/>
    <w:rsid w:val="001A16D4"/>
    <w:rsid w:val="001A2BCA"/>
    <w:rsid w:val="001A3C2E"/>
    <w:rsid w:val="001A61EC"/>
    <w:rsid w:val="001A77D7"/>
    <w:rsid w:val="001A780A"/>
    <w:rsid w:val="001A7DAB"/>
    <w:rsid w:val="001A7F57"/>
    <w:rsid w:val="001B0A34"/>
    <w:rsid w:val="001B0DC9"/>
    <w:rsid w:val="001B11DB"/>
    <w:rsid w:val="001B1BFE"/>
    <w:rsid w:val="001B1FD0"/>
    <w:rsid w:val="001B2135"/>
    <w:rsid w:val="001B4C1A"/>
    <w:rsid w:val="001B4E02"/>
    <w:rsid w:val="001B7A4F"/>
    <w:rsid w:val="001C03EA"/>
    <w:rsid w:val="001C0829"/>
    <w:rsid w:val="001C0FFD"/>
    <w:rsid w:val="001C1B9B"/>
    <w:rsid w:val="001C34A2"/>
    <w:rsid w:val="001C44AF"/>
    <w:rsid w:val="001C5786"/>
    <w:rsid w:val="001C5F86"/>
    <w:rsid w:val="001C7A21"/>
    <w:rsid w:val="001D14CF"/>
    <w:rsid w:val="001D2EE9"/>
    <w:rsid w:val="001D370D"/>
    <w:rsid w:val="001D71AA"/>
    <w:rsid w:val="001E09D2"/>
    <w:rsid w:val="001E1D44"/>
    <w:rsid w:val="001E2CE7"/>
    <w:rsid w:val="001E3C7E"/>
    <w:rsid w:val="001E5183"/>
    <w:rsid w:val="001E5EE5"/>
    <w:rsid w:val="001F00AA"/>
    <w:rsid w:val="001F0936"/>
    <w:rsid w:val="001F1B61"/>
    <w:rsid w:val="001F583E"/>
    <w:rsid w:val="001F7683"/>
    <w:rsid w:val="00200EE9"/>
    <w:rsid w:val="0020101E"/>
    <w:rsid w:val="00202F00"/>
    <w:rsid w:val="002034FF"/>
    <w:rsid w:val="00204259"/>
    <w:rsid w:val="00205D49"/>
    <w:rsid w:val="00205F2F"/>
    <w:rsid w:val="00210504"/>
    <w:rsid w:val="00211E04"/>
    <w:rsid w:val="00211E7B"/>
    <w:rsid w:val="00212222"/>
    <w:rsid w:val="00212C69"/>
    <w:rsid w:val="00213379"/>
    <w:rsid w:val="002145EE"/>
    <w:rsid w:val="002170B6"/>
    <w:rsid w:val="0021778D"/>
    <w:rsid w:val="00217C4C"/>
    <w:rsid w:val="00220626"/>
    <w:rsid w:val="00220771"/>
    <w:rsid w:val="002214B6"/>
    <w:rsid w:val="00222FFC"/>
    <w:rsid w:val="0022310F"/>
    <w:rsid w:val="002270B1"/>
    <w:rsid w:val="00232DE9"/>
    <w:rsid w:val="00232FE5"/>
    <w:rsid w:val="002340F7"/>
    <w:rsid w:val="00234881"/>
    <w:rsid w:val="00234FE8"/>
    <w:rsid w:val="002357FF"/>
    <w:rsid w:val="00236F00"/>
    <w:rsid w:val="002372A0"/>
    <w:rsid w:val="002411DD"/>
    <w:rsid w:val="00243B7A"/>
    <w:rsid w:val="0024497F"/>
    <w:rsid w:val="00246EC6"/>
    <w:rsid w:val="00247510"/>
    <w:rsid w:val="00251B7A"/>
    <w:rsid w:val="00254574"/>
    <w:rsid w:val="00254D71"/>
    <w:rsid w:val="0026087F"/>
    <w:rsid w:val="00264EC8"/>
    <w:rsid w:val="00265C22"/>
    <w:rsid w:val="00266543"/>
    <w:rsid w:val="00266960"/>
    <w:rsid w:val="002713ED"/>
    <w:rsid w:val="002716A9"/>
    <w:rsid w:val="0027307C"/>
    <w:rsid w:val="00276055"/>
    <w:rsid w:val="00277896"/>
    <w:rsid w:val="00277989"/>
    <w:rsid w:val="00277D07"/>
    <w:rsid w:val="00277DD7"/>
    <w:rsid w:val="002805E3"/>
    <w:rsid w:val="002814F2"/>
    <w:rsid w:val="00283EE9"/>
    <w:rsid w:val="002854EF"/>
    <w:rsid w:val="0028741B"/>
    <w:rsid w:val="00287AD2"/>
    <w:rsid w:val="00287FBC"/>
    <w:rsid w:val="0029076E"/>
    <w:rsid w:val="002925B9"/>
    <w:rsid w:val="00292942"/>
    <w:rsid w:val="002947AC"/>
    <w:rsid w:val="00296034"/>
    <w:rsid w:val="00296D0B"/>
    <w:rsid w:val="002A0ABB"/>
    <w:rsid w:val="002A1027"/>
    <w:rsid w:val="002A3733"/>
    <w:rsid w:val="002A57AA"/>
    <w:rsid w:val="002A5B07"/>
    <w:rsid w:val="002A5BC9"/>
    <w:rsid w:val="002B1D47"/>
    <w:rsid w:val="002B2E25"/>
    <w:rsid w:val="002B2E6B"/>
    <w:rsid w:val="002B50D6"/>
    <w:rsid w:val="002B5387"/>
    <w:rsid w:val="002B73E0"/>
    <w:rsid w:val="002C0E79"/>
    <w:rsid w:val="002C103A"/>
    <w:rsid w:val="002C2348"/>
    <w:rsid w:val="002C2DA4"/>
    <w:rsid w:val="002C6674"/>
    <w:rsid w:val="002C7C5D"/>
    <w:rsid w:val="002D056A"/>
    <w:rsid w:val="002D0570"/>
    <w:rsid w:val="002D0619"/>
    <w:rsid w:val="002D0A9D"/>
    <w:rsid w:val="002D1CF9"/>
    <w:rsid w:val="002D2E1D"/>
    <w:rsid w:val="002E079D"/>
    <w:rsid w:val="002E11C2"/>
    <w:rsid w:val="002E13CD"/>
    <w:rsid w:val="002E1FC3"/>
    <w:rsid w:val="002E2141"/>
    <w:rsid w:val="002E2CED"/>
    <w:rsid w:val="002E37A6"/>
    <w:rsid w:val="002E3A8A"/>
    <w:rsid w:val="002E3AA5"/>
    <w:rsid w:val="002E4281"/>
    <w:rsid w:val="002E4973"/>
    <w:rsid w:val="002E4C8B"/>
    <w:rsid w:val="002E4CA9"/>
    <w:rsid w:val="002E59DD"/>
    <w:rsid w:val="002E6499"/>
    <w:rsid w:val="002E6995"/>
    <w:rsid w:val="002E720D"/>
    <w:rsid w:val="002E7D52"/>
    <w:rsid w:val="002E7EB0"/>
    <w:rsid w:val="002F04B9"/>
    <w:rsid w:val="002F1D66"/>
    <w:rsid w:val="002F1F34"/>
    <w:rsid w:val="002F231C"/>
    <w:rsid w:val="002F240A"/>
    <w:rsid w:val="002F2852"/>
    <w:rsid w:val="002F2BFC"/>
    <w:rsid w:val="002F3F09"/>
    <w:rsid w:val="002F47F5"/>
    <w:rsid w:val="002F4B36"/>
    <w:rsid w:val="00300E5F"/>
    <w:rsid w:val="003018FA"/>
    <w:rsid w:val="0030318F"/>
    <w:rsid w:val="00303F8C"/>
    <w:rsid w:val="003058E4"/>
    <w:rsid w:val="003128BA"/>
    <w:rsid w:val="0031463A"/>
    <w:rsid w:val="00314CC3"/>
    <w:rsid w:val="003168FB"/>
    <w:rsid w:val="00321D2B"/>
    <w:rsid w:val="00325F5A"/>
    <w:rsid w:val="00326F2A"/>
    <w:rsid w:val="00327EC7"/>
    <w:rsid w:val="00330DD2"/>
    <w:rsid w:val="0033375B"/>
    <w:rsid w:val="00333BAC"/>
    <w:rsid w:val="003351ED"/>
    <w:rsid w:val="00340A46"/>
    <w:rsid w:val="00341C09"/>
    <w:rsid w:val="003423D6"/>
    <w:rsid w:val="00342617"/>
    <w:rsid w:val="00342B74"/>
    <w:rsid w:val="0034328A"/>
    <w:rsid w:val="003432B8"/>
    <w:rsid w:val="003453C4"/>
    <w:rsid w:val="00346E4B"/>
    <w:rsid w:val="00346FA1"/>
    <w:rsid w:val="003479BC"/>
    <w:rsid w:val="00347D50"/>
    <w:rsid w:val="0035091E"/>
    <w:rsid w:val="003537A7"/>
    <w:rsid w:val="003548C5"/>
    <w:rsid w:val="00354EF2"/>
    <w:rsid w:val="00355C5D"/>
    <w:rsid w:val="00355DCE"/>
    <w:rsid w:val="003573E8"/>
    <w:rsid w:val="00357526"/>
    <w:rsid w:val="0036112A"/>
    <w:rsid w:val="00361E17"/>
    <w:rsid w:val="003629C1"/>
    <w:rsid w:val="0036315F"/>
    <w:rsid w:val="0036390E"/>
    <w:rsid w:val="00363BD4"/>
    <w:rsid w:val="00364787"/>
    <w:rsid w:val="003653DF"/>
    <w:rsid w:val="00365FD1"/>
    <w:rsid w:val="003679F5"/>
    <w:rsid w:val="0037027C"/>
    <w:rsid w:val="00370E77"/>
    <w:rsid w:val="00373F01"/>
    <w:rsid w:val="00374AAD"/>
    <w:rsid w:val="00375285"/>
    <w:rsid w:val="00376369"/>
    <w:rsid w:val="0037653A"/>
    <w:rsid w:val="003770D6"/>
    <w:rsid w:val="003822C8"/>
    <w:rsid w:val="00382E5F"/>
    <w:rsid w:val="00385383"/>
    <w:rsid w:val="003857F6"/>
    <w:rsid w:val="00385DD7"/>
    <w:rsid w:val="00387183"/>
    <w:rsid w:val="00391322"/>
    <w:rsid w:val="003918C4"/>
    <w:rsid w:val="003920AA"/>
    <w:rsid w:val="0039318E"/>
    <w:rsid w:val="0039369E"/>
    <w:rsid w:val="00396B7B"/>
    <w:rsid w:val="00396D51"/>
    <w:rsid w:val="003A053F"/>
    <w:rsid w:val="003A0B53"/>
    <w:rsid w:val="003A0BAD"/>
    <w:rsid w:val="003A15D4"/>
    <w:rsid w:val="003A1785"/>
    <w:rsid w:val="003A21C6"/>
    <w:rsid w:val="003A3FFB"/>
    <w:rsid w:val="003A5073"/>
    <w:rsid w:val="003A5A86"/>
    <w:rsid w:val="003A7587"/>
    <w:rsid w:val="003B012D"/>
    <w:rsid w:val="003B1433"/>
    <w:rsid w:val="003B1553"/>
    <w:rsid w:val="003B1641"/>
    <w:rsid w:val="003B19E4"/>
    <w:rsid w:val="003B232B"/>
    <w:rsid w:val="003B278C"/>
    <w:rsid w:val="003B2B57"/>
    <w:rsid w:val="003B39D1"/>
    <w:rsid w:val="003B430C"/>
    <w:rsid w:val="003B4741"/>
    <w:rsid w:val="003B58ED"/>
    <w:rsid w:val="003B5BEB"/>
    <w:rsid w:val="003B637B"/>
    <w:rsid w:val="003C07FF"/>
    <w:rsid w:val="003C1E6B"/>
    <w:rsid w:val="003C5846"/>
    <w:rsid w:val="003C588B"/>
    <w:rsid w:val="003C639F"/>
    <w:rsid w:val="003C64EC"/>
    <w:rsid w:val="003D346A"/>
    <w:rsid w:val="003D5BEB"/>
    <w:rsid w:val="003D724C"/>
    <w:rsid w:val="003E0AD4"/>
    <w:rsid w:val="003E196C"/>
    <w:rsid w:val="003E3C19"/>
    <w:rsid w:val="003E41DF"/>
    <w:rsid w:val="003E58A6"/>
    <w:rsid w:val="003E59C3"/>
    <w:rsid w:val="003E60B7"/>
    <w:rsid w:val="003E7889"/>
    <w:rsid w:val="003E7B2A"/>
    <w:rsid w:val="003F0B5D"/>
    <w:rsid w:val="003F2E08"/>
    <w:rsid w:val="003F38BA"/>
    <w:rsid w:val="003F6054"/>
    <w:rsid w:val="003F6155"/>
    <w:rsid w:val="003F6A5D"/>
    <w:rsid w:val="00400F96"/>
    <w:rsid w:val="0040224D"/>
    <w:rsid w:val="0040450F"/>
    <w:rsid w:val="004047D1"/>
    <w:rsid w:val="00404CB6"/>
    <w:rsid w:val="004057E5"/>
    <w:rsid w:val="00405E55"/>
    <w:rsid w:val="0040750F"/>
    <w:rsid w:val="00407615"/>
    <w:rsid w:val="00407DDA"/>
    <w:rsid w:val="0041035B"/>
    <w:rsid w:val="0041215C"/>
    <w:rsid w:val="00412913"/>
    <w:rsid w:val="004158CA"/>
    <w:rsid w:val="0041640E"/>
    <w:rsid w:val="00416B3A"/>
    <w:rsid w:val="00417407"/>
    <w:rsid w:val="00417A8C"/>
    <w:rsid w:val="00420603"/>
    <w:rsid w:val="00420C38"/>
    <w:rsid w:val="00423BED"/>
    <w:rsid w:val="00424AE9"/>
    <w:rsid w:val="00425586"/>
    <w:rsid w:val="004258B1"/>
    <w:rsid w:val="00427ED5"/>
    <w:rsid w:val="00431151"/>
    <w:rsid w:val="00433702"/>
    <w:rsid w:val="004370E9"/>
    <w:rsid w:val="00437E24"/>
    <w:rsid w:val="00440AB9"/>
    <w:rsid w:val="00442232"/>
    <w:rsid w:val="004422A9"/>
    <w:rsid w:val="00444121"/>
    <w:rsid w:val="00444A41"/>
    <w:rsid w:val="00450249"/>
    <w:rsid w:val="0045032C"/>
    <w:rsid w:val="00451537"/>
    <w:rsid w:val="00451571"/>
    <w:rsid w:val="00451C3B"/>
    <w:rsid w:val="00451ED8"/>
    <w:rsid w:val="00452015"/>
    <w:rsid w:val="0045211F"/>
    <w:rsid w:val="0045312F"/>
    <w:rsid w:val="004535F1"/>
    <w:rsid w:val="00453B67"/>
    <w:rsid w:val="00454A15"/>
    <w:rsid w:val="00457995"/>
    <w:rsid w:val="0046129C"/>
    <w:rsid w:val="004617A4"/>
    <w:rsid w:val="00462F79"/>
    <w:rsid w:val="00464CA3"/>
    <w:rsid w:val="004651DC"/>
    <w:rsid w:val="0046658D"/>
    <w:rsid w:val="00466B00"/>
    <w:rsid w:val="00466C70"/>
    <w:rsid w:val="00466DDB"/>
    <w:rsid w:val="004674E0"/>
    <w:rsid w:val="004678D1"/>
    <w:rsid w:val="0047056C"/>
    <w:rsid w:val="004715CA"/>
    <w:rsid w:val="00471770"/>
    <w:rsid w:val="00471FAA"/>
    <w:rsid w:val="004723CA"/>
    <w:rsid w:val="00472AD6"/>
    <w:rsid w:val="004730A0"/>
    <w:rsid w:val="00473B58"/>
    <w:rsid w:val="00474A79"/>
    <w:rsid w:val="00476975"/>
    <w:rsid w:val="004777B3"/>
    <w:rsid w:val="004807FF"/>
    <w:rsid w:val="00480DCF"/>
    <w:rsid w:val="00482A32"/>
    <w:rsid w:val="00484726"/>
    <w:rsid w:val="00490B14"/>
    <w:rsid w:val="00490DB0"/>
    <w:rsid w:val="00491066"/>
    <w:rsid w:val="00491160"/>
    <w:rsid w:val="0049251F"/>
    <w:rsid w:val="00493607"/>
    <w:rsid w:val="004942EA"/>
    <w:rsid w:val="004947AA"/>
    <w:rsid w:val="00495A10"/>
    <w:rsid w:val="00496105"/>
    <w:rsid w:val="00496871"/>
    <w:rsid w:val="0049701F"/>
    <w:rsid w:val="004A2843"/>
    <w:rsid w:val="004A55C9"/>
    <w:rsid w:val="004A6532"/>
    <w:rsid w:val="004A668D"/>
    <w:rsid w:val="004A69AB"/>
    <w:rsid w:val="004A757B"/>
    <w:rsid w:val="004A79A4"/>
    <w:rsid w:val="004B0859"/>
    <w:rsid w:val="004B10CB"/>
    <w:rsid w:val="004B14A8"/>
    <w:rsid w:val="004B28D7"/>
    <w:rsid w:val="004B3695"/>
    <w:rsid w:val="004B63BD"/>
    <w:rsid w:val="004B7C40"/>
    <w:rsid w:val="004C05BF"/>
    <w:rsid w:val="004C1172"/>
    <w:rsid w:val="004C3DA0"/>
    <w:rsid w:val="004C4644"/>
    <w:rsid w:val="004C4E08"/>
    <w:rsid w:val="004C553D"/>
    <w:rsid w:val="004C6CC2"/>
    <w:rsid w:val="004D00F1"/>
    <w:rsid w:val="004D0EBB"/>
    <w:rsid w:val="004D2044"/>
    <w:rsid w:val="004D23BA"/>
    <w:rsid w:val="004D2BE3"/>
    <w:rsid w:val="004D2DD6"/>
    <w:rsid w:val="004D4737"/>
    <w:rsid w:val="004D5234"/>
    <w:rsid w:val="004D52B1"/>
    <w:rsid w:val="004D5B13"/>
    <w:rsid w:val="004D62EC"/>
    <w:rsid w:val="004E0695"/>
    <w:rsid w:val="004E2B7D"/>
    <w:rsid w:val="004E386F"/>
    <w:rsid w:val="004E5143"/>
    <w:rsid w:val="004F2446"/>
    <w:rsid w:val="004F2D4A"/>
    <w:rsid w:val="004F3F23"/>
    <w:rsid w:val="004F480F"/>
    <w:rsid w:val="004F68DD"/>
    <w:rsid w:val="004F6EC8"/>
    <w:rsid w:val="004F72C1"/>
    <w:rsid w:val="00501AE7"/>
    <w:rsid w:val="00501C0B"/>
    <w:rsid w:val="00501D4D"/>
    <w:rsid w:val="00502790"/>
    <w:rsid w:val="00506235"/>
    <w:rsid w:val="0050665E"/>
    <w:rsid w:val="00507651"/>
    <w:rsid w:val="00510A60"/>
    <w:rsid w:val="00512175"/>
    <w:rsid w:val="00512E34"/>
    <w:rsid w:val="00515B1A"/>
    <w:rsid w:val="00517D6E"/>
    <w:rsid w:val="00522943"/>
    <w:rsid w:val="00525682"/>
    <w:rsid w:val="005266F3"/>
    <w:rsid w:val="00526A43"/>
    <w:rsid w:val="00527A7C"/>
    <w:rsid w:val="0053001C"/>
    <w:rsid w:val="00530450"/>
    <w:rsid w:val="005308D4"/>
    <w:rsid w:val="00531713"/>
    <w:rsid w:val="0053231F"/>
    <w:rsid w:val="005329F0"/>
    <w:rsid w:val="005331FA"/>
    <w:rsid w:val="00534730"/>
    <w:rsid w:val="005360C6"/>
    <w:rsid w:val="00536B42"/>
    <w:rsid w:val="0053794E"/>
    <w:rsid w:val="00541018"/>
    <w:rsid w:val="00541EFF"/>
    <w:rsid w:val="005420E9"/>
    <w:rsid w:val="00542B97"/>
    <w:rsid w:val="005430EA"/>
    <w:rsid w:val="005432C8"/>
    <w:rsid w:val="005453C0"/>
    <w:rsid w:val="005455E8"/>
    <w:rsid w:val="00547C34"/>
    <w:rsid w:val="005509DD"/>
    <w:rsid w:val="0055104A"/>
    <w:rsid w:val="00551902"/>
    <w:rsid w:val="00551A05"/>
    <w:rsid w:val="005548F1"/>
    <w:rsid w:val="00555F57"/>
    <w:rsid w:val="00556F8C"/>
    <w:rsid w:val="0055701B"/>
    <w:rsid w:val="005570E1"/>
    <w:rsid w:val="00557808"/>
    <w:rsid w:val="00560206"/>
    <w:rsid w:val="005608FC"/>
    <w:rsid w:val="0056096C"/>
    <w:rsid w:val="00561247"/>
    <w:rsid w:val="0056128B"/>
    <w:rsid w:val="00561657"/>
    <w:rsid w:val="0056375B"/>
    <w:rsid w:val="005638BD"/>
    <w:rsid w:val="00564190"/>
    <w:rsid w:val="005648C0"/>
    <w:rsid w:val="0056507F"/>
    <w:rsid w:val="00566BE3"/>
    <w:rsid w:val="005676F7"/>
    <w:rsid w:val="00567BDE"/>
    <w:rsid w:val="0057027B"/>
    <w:rsid w:val="005724F4"/>
    <w:rsid w:val="00573A84"/>
    <w:rsid w:val="00574FD3"/>
    <w:rsid w:val="00575866"/>
    <w:rsid w:val="00577998"/>
    <w:rsid w:val="00577AD8"/>
    <w:rsid w:val="005814D6"/>
    <w:rsid w:val="005826AA"/>
    <w:rsid w:val="005828ED"/>
    <w:rsid w:val="005832C2"/>
    <w:rsid w:val="0058447D"/>
    <w:rsid w:val="00584E9E"/>
    <w:rsid w:val="0058593D"/>
    <w:rsid w:val="0059036E"/>
    <w:rsid w:val="00590598"/>
    <w:rsid w:val="00590FD8"/>
    <w:rsid w:val="005A0BC4"/>
    <w:rsid w:val="005A1FD4"/>
    <w:rsid w:val="005A2354"/>
    <w:rsid w:val="005A33CB"/>
    <w:rsid w:val="005A5A65"/>
    <w:rsid w:val="005A7268"/>
    <w:rsid w:val="005A7446"/>
    <w:rsid w:val="005B0E48"/>
    <w:rsid w:val="005B2ACA"/>
    <w:rsid w:val="005B3E33"/>
    <w:rsid w:val="005B7142"/>
    <w:rsid w:val="005C1272"/>
    <w:rsid w:val="005C1BD3"/>
    <w:rsid w:val="005C1C52"/>
    <w:rsid w:val="005C2252"/>
    <w:rsid w:val="005C2E4C"/>
    <w:rsid w:val="005C4563"/>
    <w:rsid w:val="005C5325"/>
    <w:rsid w:val="005C6408"/>
    <w:rsid w:val="005D026B"/>
    <w:rsid w:val="005D0550"/>
    <w:rsid w:val="005D194E"/>
    <w:rsid w:val="005D1D14"/>
    <w:rsid w:val="005D2109"/>
    <w:rsid w:val="005D244A"/>
    <w:rsid w:val="005D2458"/>
    <w:rsid w:val="005D2F08"/>
    <w:rsid w:val="005D4E5D"/>
    <w:rsid w:val="005D5EF9"/>
    <w:rsid w:val="005E068D"/>
    <w:rsid w:val="005E07FC"/>
    <w:rsid w:val="005E30A8"/>
    <w:rsid w:val="005E3FFF"/>
    <w:rsid w:val="005E6F72"/>
    <w:rsid w:val="005E734E"/>
    <w:rsid w:val="005E7F1A"/>
    <w:rsid w:val="005F089D"/>
    <w:rsid w:val="005F107C"/>
    <w:rsid w:val="005F25DE"/>
    <w:rsid w:val="005F3ADD"/>
    <w:rsid w:val="005F3D0D"/>
    <w:rsid w:val="005F5266"/>
    <w:rsid w:val="005F5F92"/>
    <w:rsid w:val="005F6CDF"/>
    <w:rsid w:val="00600190"/>
    <w:rsid w:val="00604FD8"/>
    <w:rsid w:val="006059BD"/>
    <w:rsid w:val="00607679"/>
    <w:rsid w:val="0061006E"/>
    <w:rsid w:val="006107A1"/>
    <w:rsid w:val="006115B7"/>
    <w:rsid w:val="00611959"/>
    <w:rsid w:val="006131F7"/>
    <w:rsid w:val="00613209"/>
    <w:rsid w:val="0061367A"/>
    <w:rsid w:val="00616A4C"/>
    <w:rsid w:val="00616ABF"/>
    <w:rsid w:val="00616B4B"/>
    <w:rsid w:val="00617D64"/>
    <w:rsid w:val="00621778"/>
    <w:rsid w:val="0062408F"/>
    <w:rsid w:val="00625B9A"/>
    <w:rsid w:val="00625E9D"/>
    <w:rsid w:val="0062723D"/>
    <w:rsid w:val="006277BC"/>
    <w:rsid w:val="0063010E"/>
    <w:rsid w:val="006313F4"/>
    <w:rsid w:val="00631CD6"/>
    <w:rsid w:val="006341F7"/>
    <w:rsid w:val="00636CE6"/>
    <w:rsid w:val="00636DEF"/>
    <w:rsid w:val="00636F4F"/>
    <w:rsid w:val="0063728E"/>
    <w:rsid w:val="00640789"/>
    <w:rsid w:val="00642111"/>
    <w:rsid w:val="00642532"/>
    <w:rsid w:val="00642C26"/>
    <w:rsid w:val="00643426"/>
    <w:rsid w:val="00643F52"/>
    <w:rsid w:val="00645AA1"/>
    <w:rsid w:val="00646457"/>
    <w:rsid w:val="00647525"/>
    <w:rsid w:val="00647660"/>
    <w:rsid w:val="006504AC"/>
    <w:rsid w:val="006539C9"/>
    <w:rsid w:val="0065446A"/>
    <w:rsid w:val="00654A41"/>
    <w:rsid w:val="00657847"/>
    <w:rsid w:val="0066273F"/>
    <w:rsid w:val="00662DA9"/>
    <w:rsid w:val="00662FB2"/>
    <w:rsid w:val="00663621"/>
    <w:rsid w:val="006644F8"/>
    <w:rsid w:val="00664C3F"/>
    <w:rsid w:val="00665A89"/>
    <w:rsid w:val="00666E51"/>
    <w:rsid w:val="00666EC1"/>
    <w:rsid w:val="00666F54"/>
    <w:rsid w:val="00673C88"/>
    <w:rsid w:val="00673DBA"/>
    <w:rsid w:val="006744C3"/>
    <w:rsid w:val="00675636"/>
    <w:rsid w:val="00675BBB"/>
    <w:rsid w:val="00676590"/>
    <w:rsid w:val="0067665A"/>
    <w:rsid w:val="00676D7A"/>
    <w:rsid w:val="00677FAE"/>
    <w:rsid w:val="00680239"/>
    <w:rsid w:val="00680729"/>
    <w:rsid w:val="00680E9D"/>
    <w:rsid w:val="00681BA8"/>
    <w:rsid w:val="00681D4D"/>
    <w:rsid w:val="00682B6D"/>
    <w:rsid w:val="00683250"/>
    <w:rsid w:val="0068411D"/>
    <w:rsid w:val="0068476E"/>
    <w:rsid w:val="00686900"/>
    <w:rsid w:val="0068710C"/>
    <w:rsid w:val="006872C8"/>
    <w:rsid w:val="00687944"/>
    <w:rsid w:val="0069139A"/>
    <w:rsid w:val="00693D5C"/>
    <w:rsid w:val="0069409C"/>
    <w:rsid w:val="006949D8"/>
    <w:rsid w:val="00695E5E"/>
    <w:rsid w:val="006964A1"/>
    <w:rsid w:val="00697381"/>
    <w:rsid w:val="006A01C4"/>
    <w:rsid w:val="006A025F"/>
    <w:rsid w:val="006A0ABE"/>
    <w:rsid w:val="006A154E"/>
    <w:rsid w:val="006A1717"/>
    <w:rsid w:val="006A2657"/>
    <w:rsid w:val="006A3314"/>
    <w:rsid w:val="006A34E5"/>
    <w:rsid w:val="006A4CD6"/>
    <w:rsid w:val="006A5446"/>
    <w:rsid w:val="006A5D53"/>
    <w:rsid w:val="006B0491"/>
    <w:rsid w:val="006B2897"/>
    <w:rsid w:val="006B3A74"/>
    <w:rsid w:val="006B5115"/>
    <w:rsid w:val="006B542A"/>
    <w:rsid w:val="006C08C0"/>
    <w:rsid w:val="006C22CE"/>
    <w:rsid w:val="006C22F5"/>
    <w:rsid w:val="006C3C95"/>
    <w:rsid w:val="006C4017"/>
    <w:rsid w:val="006C4117"/>
    <w:rsid w:val="006C47BD"/>
    <w:rsid w:val="006C563F"/>
    <w:rsid w:val="006C657D"/>
    <w:rsid w:val="006D231D"/>
    <w:rsid w:val="006D79A8"/>
    <w:rsid w:val="006E139F"/>
    <w:rsid w:val="006E2A5B"/>
    <w:rsid w:val="006E321E"/>
    <w:rsid w:val="006E44E2"/>
    <w:rsid w:val="006E55AD"/>
    <w:rsid w:val="006E68B0"/>
    <w:rsid w:val="006E6FF3"/>
    <w:rsid w:val="006F0EC0"/>
    <w:rsid w:val="006F12AA"/>
    <w:rsid w:val="006F33F3"/>
    <w:rsid w:val="006F4495"/>
    <w:rsid w:val="006F44D4"/>
    <w:rsid w:val="006F555B"/>
    <w:rsid w:val="006F5DB3"/>
    <w:rsid w:val="006F6BFF"/>
    <w:rsid w:val="006F6C0F"/>
    <w:rsid w:val="006F7881"/>
    <w:rsid w:val="00700C20"/>
    <w:rsid w:val="0070120B"/>
    <w:rsid w:val="00701B42"/>
    <w:rsid w:val="00702D34"/>
    <w:rsid w:val="00704188"/>
    <w:rsid w:val="00707CDD"/>
    <w:rsid w:val="00710216"/>
    <w:rsid w:val="00710303"/>
    <w:rsid w:val="00710952"/>
    <w:rsid w:val="007120E6"/>
    <w:rsid w:val="0071298C"/>
    <w:rsid w:val="00712CAB"/>
    <w:rsid w:val="00712CE5"/>
    <w:rsid w:val="00713A11"/>
    <w:rsid w:val="00713EBB"/>
    <w:rsid w:val="007233CB"/>
    <w:rsid w:val="00724712"/>
    <w:rsid w:val="00725C35"/>
    <w:rsid w:val="00726AF9"/>
    <w:rsid w:val="00727985"/>
    <w:rsid w:val="00727A73"/>
    <w:rsid w:val="00727CFB"/>
    <w:rsid w:val="007305E4"/>
    <w:rsid w:val="00730F55"/>
    <w:rsid w:val="00731B8D"/>
    <w:rsid w:val="00732E95"/>
    <w:rsid w:val="007337A7"/>
    <w:rsid w:val="00733FB9"/>
    <w:rsid w:val="00734D4B"/>
    <w:rsid w:val="0073608F"/>
    <w:rsid w:val="0074039D"/>
    <w:rsid w:val="00740DC9"/>
    <w:rsid w:val="00741775"/>
    <w:rsid w:val="00742F69"/>
    <w:rsid w:val="0074420F"/>
    <w:rsid w:val="00744776"/>
    <w:rsid w:val="00744C75"/>
    <w:rsid w:val="007464E5"/>
    <w:rsid w:val="00750061"/>
    <w:rsid w:val="0075099D"/>
    <w:rsid w:val="0075186E"/>
    <w:rsid w:val="00752552"/>
    <w:rsid w:val="007531FD"/>
    <w:rsid w:val="0075458F"/>
    <w:rsid w:val="0075470A"/>
    <w:rsid w:val="00754B71"/>
    <w:rsid w:val="007557B7"/>
    <w:rsid w:val="00755B5C"/>
    <w:rsid w:val="00756029"/>
    <w:rsid w:val="00757F29"/>
    <w:rsid w:val="007606E8"/>
    <w:rsid w:val="00760871"/>
    <w:rsid w:val="00761B55"/>
    <w:rsid w:val="00762542"/>
    <w:rsid w:val="00762ACB"/>
    <w:rsid w:val="00762C61"/>
    <w:rsid w:val="00764440"/>
    <w:rsid w:val="007702E3"/>
    <w:rsid w:val="00770FD0"/>
    <w:rsid w:val="00775226"/>
    <w:rsid w:val="00775A9C"/>
    <w:rsid w:val="0077629C"/>
    <w:rsid w:val="007762C9"/>
    <w:rsid w:val="007764FD"/>
    <w:rsid w:val="007773F0"/>
    <w:rsid w:val="00777B97"/>
    <w:rsid w:val="00780111"/>
    <w:rsid w:val="0078026F"/>
    <w:rsid w:val="00782B6B"/>
    <w:rsid w:val="00782C9C"/>
    <w:rsid w:val="007855E9"/>
    <w:rsid w:val="00786589"/>
    <w:rsid w:val="0078662C"/>
    <w:rsid w:val="00786AEE"/>
    <w:rsid w:val="00787EF8"/>
    <w:rsid w:val="007917FF"/>
    <w:rsid w:val="007918DB"/>
    <w:rsid w:val="00792BC7"/>
    <w:rsid w:val="00793ECF"/>
    <w:rsid w:val="007A210E"/>
    <w:rsid w:val="007A242F"/>
    <w:rsid w:val="007A30D7"/>
    <w:rsid w:val="007A31BD"/>
    <w:rsid w:val="007A3685"/>
    <w:rsid w:val="007A425F"/>
    <w:rsid w:val="007A4347"/>
    <w:rsid w:val="007A46CE"/>
    <w:rsid w:val="007A4BDF"/>
    <w:rsid w:val="007A5329"/>
    <w:rsid w:val="007A658C"/>
    <w:rsid w:val="007B0E38"/>
    <w:rsid w:val="007B1903"/>
    <w:rsid w:val="007B1BBB"/>
    <w:rsid w:val="007B1BDC"/>
    <w:rsid w:val="007B341A"/>
    <w:rsid w:val="007B37ED"/>
    <w:rsid w:val="007B3D2D"/>
    <w:rsid w:val="007B4CE7"/>
    <w:rsid w:val="007B4EA0"/>
    <w:rsid w:val="007B75F4"/>
    <w:rsid w:val="007C09F7"/>
    <w:rsid w:val="007C1573"/>
    <w:rsid w:val="007C57D9"/>
    <w:rsid w:val="007C603F"/>
    <w:rsid w:val="007C6788"/>
    <w:rsid w:val="007C692F"/>
    <w:rsid w:val="007C7EE8"/>
    <w:rsid w:val="007D15DC"/>
    <w:rsid w:val="007D190C"/>
    <w:rsid w:val="007D2FE9"/>
    <w:rsid w:val="007D331C"/>
    <w:rsid w:val="007D5041"/>
    <w:rsid w:val="007D5142"/>
    <w:rsid w:val="007D5E77"/>
    <w:rsid w:val="007D6059"/>
    <w:rsid w:val="007D7112"/>
    <w:rsid w:val="007D7A27"/>
    <w:rsid w:val="007D7B9D"/>
    <w:rsid w:val="007E0305"/>
    <w:rsid w:val="007E0F6F"/>
    <w:rsid w:val="007E1174"/>
    <w:rsid w:val="007E39C4"/>
    <w:rsid w:val="007E3FAA"/>
    <w:rsid w:val="007E4345"/>
    <w:rsid w:val="007E4CF5"/>
    <w:rsid w:val="007E567E"/>
    <w:rsid w:val="007E691F"/>
    <w:rsid w:val="007E7508"/>
    <w:rsid w:val="007F02DC"/>
    <w:rsid w:val="007F4136"/>
    <w:rsid w:val="007F41FD"/>
    <w:rsid w:val="007F5E0F"/>
    <w:rsid w:val="007F6D3F"/>
    <w:rsid w:val="007F747E"/>
    <w:rsid w:val="007F7CF2"/>
    <w:rsid w:val="007F7EE2"/>
    <w:rsid w:val="00800250"/>
    <w:rsid w:val="00800556"/>
    <w:rsid w:val="00802650"/>
    <w:rsid w:val="00803EE9"/>
    <w:rsid w:val="00807480"/>
    <w:rsid w:val="00807ACA"/>
    <w:rsid w:val="0081230B"/>
    <w:rsid w:val="00812924"/>
    <w:rsid w:val="00812DD7"/>
    <w:rsid w:val="00814ED9"/>
    <w:rsid w:val="00816820"/>
    <w:rsid w:val="008174B7"/>
    <w:rsid w:val="00817F05"/>
    <w:rsid w:val="0082001C"/>
    <w:rsid w:val="00820BBA"/>
    <w:rsid w:val="0082160F"/>
    <w:rsid w:val="00823351"/>
    <w:rsid w:val="008235B2"/>
    <w:rsid w:val="00823E77"/>
    <w:rsid w:val="00823F63"/>
    <w:rsid w:val="00824022"/>
    <w:rsid w:val="00825A1B"/>
    <w:rsid w:val="008268A4"/>
    <w:rsid w:val="0082721B"/>
    <w:rsid w:val="00831174"/>
    <w:rsid w:val="0083118C"/>
    <w:rsid w:val="00831E7D"/>
    <w:rsid w:val="0083231C"/>
    <w:rsid w:val="0083279F"/>
    <w:rsid w:val="00833FFA"/>
    <w:rsid w:val="0083557E"/>
    <w:rsid w:val="00835583"/>
    <w:rsid w:val="00836DE2"/>
    <w:rsid w:val="00837858"/>
    <w:rsid w:val="00837BE0"/>
    <w:rsid w:val="00837C43"/>
    <w:rsid w:val="00837C5B"/>
    <w:rsid w:val="0084007C"/>
    <w:rsid w:val="00842609"/>
    <w:rsid w:val="00842A57"/>
    <w:rsid w:val="008445B0"/>
    <w:rsid w:val="00846304"/>
    <w:rsid w:val="00847302"/>
    <w:rsid w:val="00847B10"/>
    <w:rsid w:val="0085025F"/>
    <w:rsid w:val="00850B7C"/>
    <w:rsid w:val="00851D58"/>
    <w:rsid w:val="00851ECA"/>
    <w:rsid w:val="00852AAD"/>
    <w:rsid w:val="00853AB8"/>
    <w:rsid w:val="00853B10"/>
    <w:rsid w:val="00854700"/>
    <w:rsid w:val="008551E7"/>
    <w:rsid w:val="0085778F"/>
    <w:rsid w:val="00860889"/>
    <w:rsid w:val="008608E0"/>
    <w:rsid w:val="0086303D"/>
    <w:rsid w:val="008647DF"/>
    <w:rsid w:val="00864CCA"/>
    <w:rsid w:val="00865D6B"/>
    <w:rsid w:val="008664DA"/>
    <w:rsid w:val="00867B5A"/>
    <w:rsid w:val="008706DF"/>
    <w:rsid w:val="00871849"/>
    <w:rsid w:val="00871B20"/>
    <w:rsid w:val="008724E3"/>
    <w:rsid w:val="0087285C"/>
    <w:rsid w:val="00874F65"/>
    <w:rsid w:val="00875C20"/>
    <w:rsid w:val="008809BF"/>
    <w:rsid w:val="00880D19"/>
    <w:rsid w:val="00881BBD"/>
    <w:rsid w:val="008820E6"/>
    <w:rsid w:val="0088392A"/>
    <w:rsid w:val="00883EDF"/>
    <w:rsid w:val="008845E0"/>
    <w:rsid w:val="0088761D"/>
    <w:rsid w:val="008905F3"/>
    <w:rsid w:val="00893A1C"/>
    <w:rsid w:val="008949F7"/>
    <w:rsid w:val="00895E9E"/>
    <w:rsid w:val="00897326"/>
    <w:rsid w:val="008A022C"/>
    <w:rsid w:val="008A0486"/>
    <w:rsid w:val="008A0829"/>
    <w:rsid w:val="008A277E"/>
    <w:rsid w:val="008A3C92"/>
    <w:rsid w:val="008A475D"/>
    <w:rsid w:val="008A503F"/>
    <w:rsid w:val="008B0D90"/>
    <w:rsid w:val="008B13D0"/>
    <w:rsid w:val="008B1400"/>
    <w:rsid w:val="008B30DE"/>
    <w:rsid w:val="008B35B2"/>
    <w:rsid w:val="008B42BF"/>
    <w:rsid w:val="008B6A93"/>
    <w:rsid w:val="008C0F71"/>
    <w:rsid w:val="008C1FCE"/>
    <w:rsid w:val="008C47B7"/>
    <w:rsid w:val="008C4C51"/>
    <w:rsid w:val="008C5897"/>
    <w:rsid w:val="008C630F"/>
    <w:rsid w:val="008C68DB"/>
    <w:rsid w:val="008C7423"/>
    <w:rsid w:val="008C7AF4"/>
    <w:rsid w:val="008D19D9"/>
    <w:rsid w:val="008D39A5"/>
    <w:rsid w:val="008D3E76"/>
    <w:rsid w:val="008D3FF8"/>
    <w:rsid w:val="008D5FBF"/>
    <w:rsid w:val="008D6ACF"/>
    <w:rsid w:val="008D7297"/>
    <w:rsid w:val="008E1181"/>
    <w:rsid w:val="008E11B1"/>
    <w:rsid w:val="008E2477"/>
    <w:rsid w:val="008E5F28"/>
    <w:rsid w:val="008E63F8"/>
    <w:rsid w:val="008E69CA"/>
    <w:rsid w:val="008F0C9E"/>
    <w:rsid w:val="008F0F9D"/>
    <w:rsid w:val="008F1A8D"/>
    <w:rsid w:val="008F2B46"/>
    <w:rsid w:val="008F2E8E"/>
    <w:rsid w:val="008F5247"/>
    <w:rsid w:val="008F5DA9"/>
    <w:rsid w:val="008F62F7"/>
    <w:rsid w:val="008F6B14"/>
    <w:rsid w:val="008F7D83"/>
    <w:rsid w:val="009014F8"/>
    <w:rsid w:val="00901B88"/>
    <w:rsid w:val="00903AD0"/>
    <w:rsid w:val="00903B8F"/>
    <w:rsid w:val="00904932"/>
    <w:rsid w:val="00906D6B"/>
    <w:rsid w:val="009074F2"/>
    <w:rsid w:val="00907E73"/>
    <w:rsid w:val="00910637"/>
    <w:rsid w:val="00910A94"/>
    <w:rsid w:val="00911804"/>
    <w:rsid w:val="009125A5"/>
    <w:rsid w:val="00912B67"/>
    <w:rsid w:val="00912F6C"/>
    <w:rsid w:val="00913B0C"/>
    <w:rsid w:val="00916E91"/>
    <w:rsid w:val="00917D44"/>
    <w:rsid w:val="00921281"/>
    <w:rsid w:val="00922283"/>
    <w:rsid w:val="00922498"/>
    <w:rsid w:val="00922EAA"/>
    <w:rsid w:val="00922F6D"/>
    <w:rsid w:val="00923CE5"/>
    <w:rsid w:val="009277A9"/>
    <w:rsid w:val="009316BC"/>
    <w:rsid w:val="00933C48"/>
    <w:rsid w:val="009341A8"/>
    <w:rsid w:val="009356B4"/>
    <w:rsid w:val="00935A30"/>
    <w:rsid w:val="0093676B"/>
    <w:rsid w:val="00936C7C"/>
    <w:rsid w:val="00937B75"/>
    <w:rsid w:val="00940423"/>
    <w:rsid w:val="009406B1"/>
    <w:rsid w:val="009408BE"/>
    <w:rsid w:val="00940CAF"/>
    <w:rsid w:val="009448A4"/>
    <w:rsid w:val="00944BCA"/>
    <w:rsid w:val="0094661E"/>
    <w:rsid w:val="00947D4A"/>
    <w:rsid w:val="0095081A"/>
    <w:rsid w:val="009512E5"/>
    <w:rsid w:val="009524F7"/>
    <w:rsid w:val="0095316E"/>
    <w:rsid w:val="00954C59"/>
    <w:rsid w:val="00954FAB"/>
    <w:rsid w:val="009556F5"/>
    <w:rsid w:val="00957F4D"/>
    <w:rsid w:val="00963A37"/>
    <w:rsid w:val="009640A8"/>
    <w:rsid w:val="0096414C"/>
    <w:rsid w:val="009657F2"/>
    <w:rsid w:val="00971EE6"/>
    <w:rsid w:val="00972FD4"/>
    <w:rsid w:val="009768CE"/>
    <w:rsid w:val="0098045C"/>
    <w:rsid w:val="00984C4A"/>
    <w:rsid w:val="00984D49"/>
    <w:rsid w:val="0098531E"/>
    <w:rsid w:val="009856D1"/>
    <w:rsid w:val="0099175C"/>
    <w:rsid w:val="00992BFD"/>
    <w:rsid w:val="0099351E"/>
    <w:rsid w:val="009945DC"/>
    <w:rsid w:val="00994B62"/>
    <w:rsid w:val="00994D37"/>
    <w:rsid w:val="00994EA4"/>
    <w:rsid w:val="00994FFC"/>
    <w:rsid w:val="00995328"/>
    <w:rsid w:val="009962A7"/>
    <w:rsid w:val="009979F4"/>
    <w:rsid w:val="009A02D6"/>
    <w:rsid w:val="009A03EF"/>
    <w:rsid w:val="009A150A"/>
    <w:rsid w:val="009A15DB"/>
    <w:rsid w:val="009A19C6"/>
    <w:rsid w:val="009A1A0E"/>
    <w:rsid w:val="009A20BD"/>
    <w:rsid w:val="009A3954"/>
    <w:rsid w:val="009A3CA4"/>
    <w:rsid w:val="009A3EBA"/>
    <w:rsid w:val="009A3FA9"/>
    <w:rsid w:val="009A487B"/>
    <w:rsid w:val="009A49B6"/>
    <w:rsid w:val="009A621C"/>
    <w:rsid w:val="009A694F"/>
    <w:rsid w:val="009A6A42"/>
    <w:rsid w:val="009A6CBB"/>
    <w:rsid w:val="009A73AE"/>
    <w:rsid w:val="009A7BB1"/>
    <w:rsid w:val="009B1894"/>
    <w:rsid w:val="009B2026"/>
    <w:rsid w:val="009B2081"/>
    <w:rsid w:val="009B2259"/>
    <w:rsid w:val="009B336F"/>
    <w:rsid w:val="009B3856"/>
    <w:rsid w:val="009B4090"/>
    <w:rsid w:val="009B4CD5"/>
    <w:rsid w:val="009B4D95"/>
    <w:rsid w:val="009B51A0"/>
    <w:rsid w:val="009B53A1"/>
    <w:rsid w:val="009B54CB"/>
    <w:rsid w:val="009B5BB2"/>
    <w:rsid w:val="009B5D3E"/>
    <w:rsid w:val="009B6E40"/>
    <w:rsid w:val="009C538D"/>
    <w:rsid w:val="009C5B28"/>
    <w:rsid w:val="009C5F12"/>
    <w:rsid w:val="009C799A"/>
    <w:rsid w:val="009C7C84"/>
    <w:rsid w:val="009D02A0"/>
    <w:rsid w:val="009D09D4"/>
    <w:rsid w:val="009D36C5"/>
    <w:rsid w:val="009D39A7"/>
    <w:rsid w:val="009D5075"/>
    <w:rsid w:val="009D5C0B"/>
    <w:rsid w:val="009D6680"/>
    <w:rsid w:val="009D74C4"/>
    <w:rsid w:val="009E18DB"/>
    <w:rsid w:val="009E1DDD"/>
    <w:rsid w:val="009E1EC2"/>
    <w:rsid w:val="009E1F8E"/>
    <w:rsid w:val="009E2139"/>
    <w:rsid w:val="009E3B13"/>
    <w:rsid w:val="009E3BD1"/>
    <w:rsid w:val="009E3C97"/>
    <w:rsid w:val="009E72EE"/>
    <w:rsid w:val="009E7531"/>
    <w:rsid w:val="009E776F"/>
    <w:rsid w:val="009F05A3"/>
    <w:rsid w:val="009F2019"/>
    <w:rsid w:val="009F3BCB"/>
    <w:rsid w:val="009F46BC"/>
    <w:rsid w:val="009F54F2"/>
    <w:rsid w:val="009F5911"/>
    <w:rsid w:val="009F7151"/>
    <w:rsid w:val="009F7F91"/>
    <w:rsid w:val="00A01942"/>
    <w:rsid w:val="00A01A28"/>
    <w:rsid w:val="00A030B9"/>
    <w:rsid w:val="00A07A91"/>
    <w:rsid w:val="00A100FE"/>
    <w:rsid w:val="00A120F7"/>
    <w:rsid w:val="00A12B93"/>
    <w:rsid w:val="00A12F22"/>
    <w:rsid w:val="00A13A7E"/>
    <w:rsid w:val="00A15014"/>
    <w:rsid w:val="00A15F1B"/>
    <w:rsid w:val="00A175F7"/>
    <w:rsid w:val="00A17A3B"/>
    <w:rsid w:val="00A17D02"/>
    <w:rsid w:val="00A20973"/>
    <w:rsid w:val="00A20B32"/>
    <w:rsid w:val="00A227B4"/>
    <w:rsid w:val="00A24321"/>
    <w:rsid w:val="00A24DE0"/>
    <w:rsid w:val="00A25DAD"/>
    <w:rsid w:val="00A267E4"/>
    <w:rsid w:val="00A26FA7"/>
    <w:rsid w:val="00A2728E"/>
    <w:rsid w:val="00A273B3"/>
    <w:rsid w:val="00A27DFD"/>
    <w:rsid w:val="00A30898"/>
    <w:rsid w:val="00A30C27"/>
    <w:rsid w:val="00A30C45"/>
    <w:rsid w:val="00A320A6"/>
    <w:rsid w:val="00A32233"/>
    <w:rsid w:val="00A3267E"/>
    <w:rsid w:val="00A331E4"/>
    <w:rsid w:val="00A3332C"/>
    <w:rsid w:val="00A33905"/>
    <w:rsid w:val="00A33EB0"/>
    <w:rsid w:val="00A33FE7"/>
    <w:rsid w:val="00A35E9B"/>
    <w:rsid w:val="00A400C9"/>
    <w:rsid w:val="00A4095A"/>
    <w:rsid w:val="00A40AB5"/>
    <w:rsid w:val="00A423C4"/>
    <w:rsid w:val="00A476CF"/>
    <w:rsid w:val="00A479DB"/>
    <w:rsid w:val="00A47D1D"/>
    <w:rsid w:val="00A50BA3"/>
    <w:rsid w:val="00A51CD4"/>
    <w:rsid w:val="00A52074"/>
    <w:rsid w:val="00A54891"/>
    <w:rsid w:val="00A60798"/>
    <w:rsid w:val="00A6091E"/>
    <w:rsid w:val="00A617A8"/>
    <w:rsid w:val="00A61AB7"/>
    <w:rsid w:val="00A64B29"/>
    <w:rsid w:val="00A71AC5"/>
    <w:rsid w:val="00A71E59"/>
    <w:rsid w:val="00A72966"/>
    <w:rsid w:val="00A74EB0"/>
    <w:rsid w:val="00A7678C"/>
    <w:rsid w:val="00A77D38"/>
    <w:rsid w:val="00A80722"/>
    <w:rsid w:val="00A83547"/>
    <w:rsid w:val="00A8368B"/>
    <w:rsid w:val="00A8423F"/>
    <w:rsid w:val="00A85B4A"/>
    <w:rsid w:val="00A867A1"/>
    <w:rsid w:val="00A919BF"/>
    <w:rsid w:val="00A921CF"/>
    <w:rsid w:val="00A92237"/>
    <w:rsid w:val="00A925F9"/>
    <w:rsid w:val="00A9328A"/>
    <w:rsid w:val="00A93DB4"/>
    <w:rsid w:val="00A94E47"/>
    <w:rsid w:val="00A95C07"/>
    <w:rsid w:val="00AA08F1"/>
    <w:rsid w:val="00AA1ABF"/>
    <w:rsid w:val="00AA1D57"/>
    <w:rsid w:val="00AA2259"/>
    <w:rsid w:val="00AA546F"/>
    <w:rsid w:val="00AA5C95"/>
    <w:rsid w:val="00AA5D7A"/>
    <w:rsid w:val="00AA63F4"/>
    <w:rsid w:val="00AA75F5"/>
    <w:rsid w:val="00AB05E5"/>
    <w:rsid w:val="00AB14E7"/>
    <w:rsid w:val="00AB1A7A"/>
    <w:rsid w:val="00AB1A84"/>
    <w:rsid w:val="00AB287C"/>
    <w:rsid w:val="00AB2C59"/>
    <w:rsid w:val="00AB2DCB"/>
    <w:rsid w:val="00AB454B"/>
    <w:rsid w:val="00AB4CE3"/>
    <w:rsid w:val="00AC039A"/>
    <w:rsid w:val="00AC0666"/>
    <w:rsid w:val="00AC5716"/>
    <w:rsid w:val="00AC7F7C"/>
    <w:rsid w:val="00AD07FD"/>
    <w:rsid w:val="00AD0CCA"/>
    <w:rsid w:val="00AD1EE5"/>
    <w:rsid w:val="00AD2A26"/>
    <w:rsid w:val="00AD3C6B"/>
    <w:rsid w:val="00AD5B31"/>
    <w:rsid w:val="00AD5E13"/>
    <w:rsid w:val="00AD5F9B"/>
    <w:rsid w:val="00AD75F1"/>
    <w:rsid w:val="00AD7C6B"/>
    <w:rsid w:val="00AE01F9"/>
    <w:rsid w:val="00AE2A45"/>
    <w:rsid w:val="00AE2C06"/>
    <w:rsid w:val="00AE3E62"/>
    <w:rsid w:val="00AE570F"/>
    <w:rsid w:val="00AE58E1"/>
    <w:rsid w:val="00AE59A4"/>
    <w:rsid w:val="00AE5A82"/>
    <w:rsid w:val="00AE667C"/>
    <w:rsid w:val="00AE7297"/>
    <w:rsid w:val="00AE7A11"/>
    <w:rsid w:val="00AE7A8F"/>
    <w:rsid w:val="00AF07EE"/>
    <w:rsid w:val="00AF07F7"/>
    <w:rsid w:val="00AF138B"/>
    <w:rsid w:val="00AF2648"/>
    <w:rsid w:val="00AF30EA"/>
    <w:rsid w:val="00AF3AF8"/>
    <w:rsid w:val="00AF5BEF"/>
    <w:rsid w:val="00AF6219"/>
    <w:rsid w:val="00AF74D2"/>
    <w:rsid w:val="00AF7C18"/>
    <w:rsid w:val="00AF7EEF"/>
    <w:rsid w:val="00B02721"/>
    <w:rsid w:val="00B03248"/>
    <w:rsid w:val="00B03963"/>
    <w:rsid w:val="00B03D9F"/>
    <w:rsid w:val="00B041BE"/>
    <w:rsid w:val="00B06631"/>
    <w:rsid w:val="00B06B6C"/>
    <w:rsid w:val="00B1024C"/>
    <w:rsid w:val="00B10FA6"/>
    <w:rsid w:val="00B1221B"/>
    <w:rsid w:val="00B12282"/>
    <w:rsid w:val="00B122E5"/>
    <w:rsid w:val="00B12F5E"/>
    <w:rsid w:val="00B13B26"/>
    <w:rsid w:val="00B162D5"/>
    <w:rsid w:val="00B205EC"/>
    <w:rsid w:val="00B20948"/>
    <w:rsid w:val="00B21E8E"/>
    <w:rsid w:val="00B21FB3"/>
    <w:rsid w:val="00B22203"/>
    <w:rsid w:val="00B2221E"/>
    <w:rsid w:val="00B236D8"/>
    <w:rsid w:val="00B237B1"/>
    <w:rsid w:val="00B23B21"/>
    <w:rsid w:val="00B27560"/>
    <w:rsid w:val="00B27DAB"/>
    <w:rsid w:val="00B3077A"/>
    <w:rsid w:val="00B32E37"/>
    <w:rsid w:val="00B33305"/>
    <w:rsid w:val="00B34C3C"/>
    <w:rsid w:val="00B3590F"/>
    <w:rsid w:val="00B36B83"/>
    <w:rsid w:val="00B36EF9"/>
    <w:rsid w:val="00B370B2"/>
    <w:rsid w:val="00B374E2"/>
    <w:rsid w:val="00B374E8"/>
    <w:rsid w:val="00B40087"/>
    <w:rsid w:val="00B4017D"/>
    <w:rsid w:val="00B41704"/>
    <w:rsid w:val="00B422A3"/>
    <w:rsid w:val="00B457FA"/>
    <w:rsid w:val="00B45A54"/>
    <w:rsid w:val="00B45E5F"/>
    <w:rsid w:val="00B45F28"/>
    <w:rsid w:val="00B461CC"/>
    <w:rsid w:val="00B47069"/>
    <w:rsid w:val="00B50FDB"/>
    <w:rsid w:val="00B51670"/>
    <w:rsid w:val="00B51732"/>
    <w:rsid w:val="00B5674F"/>
    <w:rsid w:val="00B608A4"/>
    <w:rsid w:val="00B60FE0"/>
    <w:rsid w:val="00B6116B"/>
    <w:rsid w:val="00B612D2"/>
    <w:rsid w:val="00B62462"/>
    <w:rsid w:val="00B62984"/>
    <w:rsid w:val="00B631DE"/>
    <w:rsid w:val="00B6421C"/>
    <w:rsid w:val="00B6454E"/>
    <w:rsid w:val="00B64630"/>
    <w:rsid w:val="00B65361"/>
    <w:rsid w:val="00B7044A"/>
    <w:rsid w:val="00B70E91"/>
    <w:rsid w:val="00B7189C"/>
    <w:rsid w:val="00B74BA0"/>
    <w:rsid w:val="00B76DC8"/>
    <w:rsid w:val="00B80AD8"/>
    <w:rsid w:val="00B81E91"/>
    <w:rsid w:val="00B82798"/>
    <w:rsid w:val="00B83A3E"/>
    <w:rsid w:val="00B84F03"/>
    <w:rsid w:val="00B903F2"/>
    <w:rsid w:val="00B9054A"/>
    <w:rsid w:val="00B95DD3"/>
    <w:rsid w:val="00B96089"/>
    <w:rsid w:val="00B96FEF"/>
    <w:rsid w:val="00B977F4"/>
    <w:rsid w:val="00BA12D4"/>
    <w:rsid w:val="00BA202A"/>
    <w:rsid w:val="00BA39B3"/>
    <w:rsid w:val="00BA552E"/>
    <w:rsid w:val="00BA55A1"/>
    <w:rsid w:val="00BA6D3E"/>
    <w:rsid w:val="00BA7D2D"/>
    <w:rsid w:val="00BA7E2B"/>
    <w:rsid w:val="00BB0DC9"/>
    <w:rsid w:val="00BB18CB"/>
    <w:rsid w:val="00BB21D0"/>
    <w:rsid w:val="00BB3CC8"/>
    <w:rsid w:val="00BB41B2"/>
    <w:rsid w:val="00BB4E04"/>
    <w:rsid w:val="00BB68FD"/>
    <w:rsid w:val="00BB6E9D"/>
    <w:rsid w:val="00BC0674"/>
    <w:rsid w:val="00BC1267"/>
    <w:rsid w:val="00BC4DBC"/>
    <w:rsid w:val="00BC5C06"/>
    <w:rsid w:val="00BC70C5"/>
    <w:rsid w:val="00BC7827"/>
    <w:rsid w:val="00BD0132"/>
    <w:rsid w:val="00BD0843"/>
    <w:rsid w:val="00BD08B7"/>
    <w:rsid w:val="00BD1F1A"/>
    <w:rsid w:val="00BD310A"/>
    <w:rsid w:val="00BD3BCE"/>
    <w:rsid w:val="00BD4B0A"/>
    <w:rsid w:val="00BD4E6A"/>
    <w:rsid w:val="00BD5B40"/>
    <w:rsid w:val="00BE3772"/>
    <w:rsid w:val="00BE5260"/>
    <w:rsid w:val="00BE5AEF"/>
    <w:rsid w:val="00BE6675"/>
    <w:rsid w:val="00BE685F"/>
    <w:rsid w:val="00BF098C"/>
    <w:rsid w:val="00BF0E7E"/>
    <w:rsid w:val="00BF2EA9"/>
    <w:rsid w:val="00BF305C"/>
    <w:rsid w:val="00BF3548"/>
    <w:rsid w:val="00BF42ED"/>
    <w:rsid w:val="00BF503D"/>
    <w:rsid w:val="00BF6EB6"/>
    <w:rsid w:val="00C02BA1"/>
    <w:rsid w:val="00C02C10"/>
    <w:rsid w:val="00C039B1"/>
    <w:rsid w:val="00C03F4D"/>
    <w:rsid w:val="00C0492A"/>
    <w:rsid w:val="00C04C3D"/>
    <w:rsid w:val="00C05299"/>
    <w:rsid w:val="00C05426"/>
    <w:rsid w:val="00C06D76"/>
    <w:rsid w:val="00C1070E"/>
    <w:rsid w:val="00C10C9B"/>
    <w:rsid w:val="00C12393"/>
    <w:rsid w:val="00C15017"/>
    <w:rsid w:val="00C16F83"/>
    <w:rsid w:val="00C172F2"/>
    <w:rsid w:val="00C20AED"/>
    <w:rsid w:val="00C230A7"/>
    <w:rsid w:val="00C23CE3"/>
    <w:rsid w:val="00C24076"/>
    <w:rsid w:val="00C2442B"/>
    <w:rsid w:val="00C2475C"/>
    <w:rsid w:val="00C25CF2"/>
    <w:rsid w:val="00C25D33"/>
    <w:rsid w:val="00C263AE"/>
    <w:rsid w:val="00C312BC"/>
    <w:rsid w:val="00C31554"/>
    <w:rsid w:val="00C31C23"/>
    <w:rsid w:val="00C3281E"/>
    <w:rsid w:val="00C32C14"/>
    <w:rsid w:val="00C33D1C"/>
    <w:rsid w:val="00C346A9"/>
    <w:rsid w:val="00C34948"/>
    <w:rsid w:val="00C35262"/>
    <w:rsid w:val="00C352C4"/>
    <w:rsid w:val="00C35C46"/>
    <w:rsid w:val="00C35D02"/>
    <w:rsid w:val="00C37361"/>
    <w:rsid w:val="00C40E8C"/>
    <w:rsid w:val="00C41187"/>
    <w:rsid w:val="00C41A79"/>
    <w:rsid w:val="00C41D79"/>
    <w:rsid w:val="00C423DE"/>
    <w:rsid w:val="00C434E4"/>
    <w:rsid w:val="00C459B7"/>
    <w:rsid w:val="00C47795"/>
    <w:rsid w:val="00C501F9"/>
    <w:rsid w:val="00C51C99"/>
    <w:rsid w:val="00C52663"/>
    <w:rsid w:val="00C53658"/>
    <w:rsid w:val="00C53C89"/>
    <w:rsid w:val="00C54A67"/>
    <w:rsid w:val="00C557D7"/>
    <w:rsid w:val="00C60ADB"/>
    <w:rsid w:val="00C619DE"/>
    <w:rsid w:val="00C62420"/>
    <w:rsid w:val="00C63B37"/>
    <w:rsid w:val="00C65875"/>
    <w:rsid w:val="00C6618D"/>
    <w:rsid w:val="00C675BD"/>
    <w:rsid w:val="00C67BFC"/>
    <w:rsid w:val="00C703FE"/>
    <w:rsid w:val="00C71F6B"/>
    <w:rsid w:val="00C74103"/>
    <w:rsid w:val="00C76BC8"/>
    <w:rsid w:val="00C775D0"/>
    <w:rsid w:val="00C77F43"/>
    <w:rsid w:val="00C8083C"/>
    <w:rsid w:val="00C80A8F"/>
    <w:rsid w:val="00C828EE"/>
    <w:rsid w:val="00C82CC4"/>
    <w:rsid w:val="00C83009"/>
    <w:rsid w:val="00C83310"/>
    <w:rsid w:val="00C83482"/>
    <w:rsid w:val="00C84BA6"/>
    <w:rsid w:val="00C85415"/>
    <w:rsid w:val="00C857A3"/>
    <w:rsid w:val="00C85B5A"/>
    <w:rsid w:val="00C865D7"/>
    <w:rsid w:val="00C9317E"/>
    <w:rsid w:val="00C93E0A"/>
    <w:rsid w:val="00C94057"/>
    <w:rsid w:val="00C9498E"/>
    <w:rsid w:val="00CA0068"/>
    <w:rsid w:val="00CA1FCC"/>
    <w:rsid w:val="00CA2960"/>
    <w:rsid w:val="00CA2E7E"/>
    <w:rsid w:val="00CA33C9"/>
    <w:rsid w:val="00CA37B9"/>
    <w:rsid w:val="00CA43E2"/>
    <w:rsid w:val="00CA4699"/>
    <w:rsid w:val="00CA4804"/>
    <w:rsid w:val="00CA4A57"/>
    <w:rsid w:val="00CA7396"/>
    <w:rsid w:val="00CA74E3"/>
    <w:rsid w:val="00CB1119"/>
    <w:rsid w:val="00CB1FF4"/>
    <w:rsid w:val="00CB2C92"/>
    <w:rsid w:val="00CB31E3"/>
    <w:rsid w:val="00CB5B4F"/>
    <w:rsid w:val="00CB5C64"/>
    <w:rsid w:val="00CB646E"/>
    <w:rsid w:val="00CB6D16"/>
    <w:rsid w:val="00CB79F6"/>
    <w:rsid w:val="00CB7A02"/>
    <w:rsid w:val="00CC2E05"/>
    <w:rsid w:val="00CC6BD9"/>
    <w:rsid w:val="00CD0504"/>
    <w:rsid w:val="00CD3A45"/>
    <w:rsid w:val="00CD3B1E"/>
    <w:rsid w:val="00CD3FF9"/>
    <w:rsid w:val="00CD5098"/>
    <w:rsid w:val="00CD50B5"/>
    <w:rsid w:val="00CD5313"/>
    <w:rsid w:val="00CD5417"/>
    <w:rsid w:val="00CD5DC4"/>
    <w:rsid w:val="00CD626D"/>
    <w:rsid w:val="00CD68D6"/>
    <w:rsid w:val="00CD6BCC"/>
    <w:rsid w:val="00CE02EA"/>
    <w:rsid w:val="00CE0624"/>
    <w:rsid w:val="00CE3492"/>
    <w:rsid w:val="00CE3730"/>
    <w:rsid w:val="00CE400D"/>
    <w:rsid w:val="00CE4386"/>
    <w:rsid w:val="00CE4A2F"/>
    <w:rsid w:val="00CE64C0"/>
    <w:rsid w:val="00CE75FA"/>
    <w:rsid w:val="00CE7BF7"/>
    <w:rsid w:val="00CF1A74"/>
    <w:rsid w:val="00CF1FFA"/>
    <w:rsid w:val="00CF2706"/>
    <w:rsid w:val="00CF7A74"/>
    <w:rsid w:val="00D0032E"/>
    <w:rsid w:val="00D00588"/>
    <w:rsid w:val="00D008C8"/>
    <w:rsid w:val="00D00B1A"/>
    <w:rsid w:val="00D0174B"/>
    <w:rsid w:val="00D021D8"/>
    <w:rsid w:val="00D029AC"/>
    <w:rsid w:val="00D03F5B"/>
    <w:rsid w:val="00D10D22"/>
    <w:rsid w:val="00D11496"/>
    <w:rsid w:val="00D127BE"/>
    <w:rsid w:val="00D12E26"/>
    <w:rsid w:val="00D136FA"/>
    <w:rsid w:val="00D15B88"/>
    <w:rsid w:val="00D16982"/>
    <w:rsid w:val="00D20D19"/>
    <w:rsid w:val="00D228A2"/>
    <w:rsid w:val="00D22CF1"/>
    <w:rsid w:val="00D2333D"/>
    <w:rsid w:val="00D2515C"/>
    <w:rsid w:val="00D2526C"/>
    <w:rsid w:val="00D25682"/>
    <w:rsid w:val="00D258B1"/>
    <w:rsid w:val="00D26425"/>
    <w:rsid w:val="00D30137"/>
    <w:rsid w:val="00D31CA4"/>
    <w:rsid w:val="00D32813"/>
    <w:rsid w:val="00D33D05"/>
    <w:rsid w:val="00D37757"/>
    <w:rsid w:val="00D40BFE"/>
    <w:rsid w:val="00D43C59"/>
    <w:rsid w:val="00D44740"/>
    <w:rsid w:val="00D44872"/>
    <w:rsid w:val="00D44A14"/>
    <w:rsid w:val="00D45242"/>
    <w:rsid w:val="00D46054"/>
    <w:rsid w:val="00D462DF"/>
    <w:rsid w:val="00D46316"/>
    <w:rsid w:val="00D5260F"/>
    <w:rsid w:val="00D52C8F"/>
    <w:rsid w:val="00D5439B"/>
    <w:rsid w:val="00D55789"/>
    <w:rsid w:val="00D55C76"/>
    <w:rsid w:val="00D56BF4"/>
    <w:rsid w:val="00D57ACA"/>
    <w:rsid w:val="00D57F49"/>
    <w:rsid w:val="00D60D66"/>
    <w:rsid w:val="00D619EB"/>
    <w:rsid w:val="00D63432"/>
    <w:rsid w:val="00D643F9"/>
    <w:rsid w:val="00D6588B"/>
    <w:rsid w:val="00D658E4"/>
    <w:rsid w:val="00D65D73"/>
    <w:rsid w:val="00D66B19"/>
    <w:rsid w:val="00D670E6"/>
    <w:rsid w:val="00D703B0"/>
    <w:rsid w:val="00D7169D"/>
    <w:rsid w:val="00D7218B"/>
    <w:rsid w:val="00D737E2"/>
    <w:rsid w:val="00D740EC"/>
    <w:rsid w:val="00D74D96"/>
    <w:rsid w:val="00D74E56"/>
    <w:rsid w:val="00D75667"/>
    <w:rsid w:val="00D801C5"/>
    <w:rsid w:val="00D831C3"/>
    <w:rsid w:val="00D83857"/>
    <w:rsid w:val="00D840B6"/>
    <w:rsid w:val="00D846EA"/>
    <w:rsid w:val="00D85F39"/>
    <w:rsid w:val="00D87FD2"/>
    <w:rsid w:val="00D905B6"/>
    <w:rsid w:val="00D90766"/>
    <w:rsid w:val="00D935A8"/>
    <w:rsid w:val="00D94C00"/>
    <w:rsid w:val="00D9511B"/>
    <w:rsid w:val="00D95B22"/>
    <w:rsid w:val="00D9796E"/>
    <w:rsid w:val="00DA198C"/>
    <w:rsid w:val="00DA2701"/>
    <w:rsid w:val="00DA2BA9"/>
    <w:rsid w:val="00DA33BB"/>
    <w:rsid w:val="00DA39D6"/>
    <w:rsid w:val="00DA3CEB"/>
    <w:rsid w:val="00DA4915"/>
    <w:rsid w:val="00DA4D9A"/>
    <w:rsid w:val="00DA66D3"/>
    <w:rsid w:val="00DA6C4E"/>
    <w:rsid w:val="00DA6CF1"/>
    <w:rsid w:val="00DA7BA8"/>
    <w:rsid w:val="00DA7DCA"/>
    <w:rsid w:val="00DB1971"/>
    <w:rsid w:val="00DB3C67"/>
    <w:rsid w:val="00DB409A"/>
    <w:rsid w:val="00DB45C9"/>
    <w:rsid w:val="00DB482E"/>
    <w:rsid w:val="00DB5287"/>
    <w:rsid w:val="00DB58CD"/>
    <w:rsid w:val="00DB5D7D"/>
    <w:rsid w:val="00DC19BB"/>
    <w:rsid w:val="00DC29FC"/>
    <w:rsid w:val="00DC3391"/>
    <w:rsid w:val="00DC351A"/>
    <w:rsid w:val="00DC4DD9"/>
    <w:rsid w:val="00DC539A"/>
    <w:rsid w:val="00DC722D"/>
    <w:rsid w:val="00DC7685"/>
    <w:rsid w:val="00DD2477"/>
    <w:rsid w:val="00DD75D0"/>
    <w:rsid w:val="00DD79DF"/>
    <w:rsid w:val="00DD7D45"/>
    <w:rsid w:val="00DE0699"/>
    <w:rsid w:val="00DE40D7"/>
    <w:rsid w:val="00DE59EF"/>
    <w:rsid w:val="00DF0E05"/>
    <w:rsid w:val="00DF1020"/>
    <w:rsid w:val="00DF1CC7"/>
    <w:rsid w:val="00DF1EF8"/>
    <w:rsid w:val="00DF27CA"/>
    <w:rsid w:val="00DF3271"/>
    <w:rsid w:val="00DF3AAB"/>
    <w:rsid w:val="00DF5D71"/>
    <w:rsid w:val="00DF7160"/>
    <w:rsid w:val="00DF7793"/>
    <w:rsid w:val="00E0212A"/>
    <w:rsid w:val="00E0582C"/>
    <w:rsid w:val="00E07793"/>
    <w:rsid w:val="00E1017A"/>
    <w:rsid w:val="00E12C47"/>
    <w:rsid w:val="00E13183"/>
    <w:rsid w:val="00E135C8"/>
    <w:rsid w:val="00E1421B"/>
    <w:rsid w:val="00E1672D"/>
    <w:rsid w:val="00E179DF"/>
    <w:rsid w:val="00E2014B"/>
    <w:rsid w:val="00E209DD"/>
    <w:rsid w:val="00E20D2E"/>
    <w:rsid w:val="00E21798"/>
    <w:rsid w:val="00E228FC"/>
    <w:rsid w:val="00E23016"/>
    <w:rsid w:val="00E25F85"/>
    <w:rsid w:val="00E261DC"/>
    <w:rsid w:val="00E26424"/>
    <w:rsid w:val="00E2661F"/>
    <w:rsid w:val="00E267EC"/>
    <w:rsid w:val="00E27036"/>
    <w:rsid w:val="00E31CAD"/>
    <w:rsid w:val="00E3492F"/>
    <w:rsid w:val="00E34A4A"/>
    <w:rsid w:val="00E36CEE"/>
    <w:rsid w:val="00E36F6B"/>
    <w:rsid w:val="00E41EDC"/>
    <w:rsid w:val="00E42848"/>
    <w:rsid w:val="00E42D7B"/>
    <w:rsid w:val="00E43749"/>
    <w:rsid w:val="00E44DEC"/>
    <w:rsid w:val="00E45E82"/>
    <w:rsid w:val="00E46E7D"/>
    <w:rsid w:val="00E500F8"/>
    <w:rsid w:val="00E503FB"/>
    <w:rsid w:val="00E517B6"/>
    <w:rsid w:val="00E51ED3"/>
    <w:rsid w:val="00E52A6A"/>
    <w:rsid w:val="00E53169"/>
    <w:rsid w:val="00E53CB8"/>
    <w:rsid w:val="00E54764"/>
    <w:rsid w:val="00E54958"/>
    <w:rsid w:val="00E566AA"/>
    <w:rsid w:val="00E57B70"/>
    <w:rsid w:val="00E61683"/>
    <w:rsid w:val="00E61CB7"/>
    <w:rsid w:val="00E635E4"/>
    <w:rsid w:val="00E641E9"/>
    <w:rsid w:val="00E642CA"/>
    <w:rsid w:val="00E6521E"/>
    <w:rsid w:val="00E654D6"/>
    <w:rsid w:val="00E65554"/>
    <w:rsid w:val="00E662EF"/>
    <w:rsid w:val="00E67C65"/>
    <w:rsid w:val="00E703F2"/>
    <w:rsid w:val="00E71A66"/>
    <w:rsid w:val="00E7337A"/>
    <w:rsid w:val="00E73F5E"/>
    <w:rsid w:val="00E76CF0"/>
    <w:rsid w:val="00E80160"/>
    <w:rsid w:val="00E81D97"/>
    <w:rsid w:val="00E8207F"/>
    <w:rsid w:val="00E82F06"/>
    <w:rsid w:val="00E8348C"/>
    <w:rsid w:val="00E8500A"/>
    <w:rsid w:val="00E850D6"/>
    <w:rsid w:val="00E85297"/>
    <w:rsid w:val="00E85B4F"/>
    <w:rsid w:val="00E85FEC"/>
    <w:rsid w:val="00E87551"/>
    <w:rsid w:val="00E87FA0"/>
    <w:rsid w:val="00E87FFA"/>
    <w:rsid w:val="00E9135D"/>
    <w:rsid w:val="00E93C69"/>
    <w:rsid w:val="00E944CD"/>
    <w:rsid w:val="00E94B59"/>
    <w:rsid w:val="00E954E7"/>
    <w:rsid w:val="00E95520"/>
    <w:rsid w:val="00E95ACA"/>
    <w:rsid w:val="00E965E4"/>
    <w:rsid w:val="00E97C5C"/>
    <w:rsid w:val="00EA141C"/>
    <w:rsid w:val="00EA156C"/>
    <w:rsid w:val="00EA5462"/>
    <w:rsid w:val="00EA5ED3"/>
    <w:rsid w:val="00EA6A2A"/>
    <w:rsid w:val="00EA6E15"/>
    <w:rsid w:val="00EA7A4D"/>
    <w:rsid w:val="00EB0C7A"/>
    <w:rsid w:val="00EB1006"/>
    <w:rsid w:val="00EB1575"/>
    <w:rsid w:val="00EB500F"/>
    <w:rsid w:val="00EB62CA"/>
    <w:rsid w:val="00EB7560"/>
    <w:rsid w:val="00EC020B"/>
    <w:rsid w:val="00EC440E"/>
    <w:rsid w:val="00EC5449"/>
    <w:rsid w:val="00EC5C58"/>
    <w:rsid w:val="00EC613C"/>
    <w:rsid w:val="00EC798E"/>
    <w:rsid w:val="00EC7BEC"/>
    <w:rsid w:val="00EC7C34"/>
    <w:rsid w:val="00EC7D66"/>
    <w:rsid w:val="00ED3463"/>
    <w:rsid w:val="00ED3495"/>
    <w:rsid w:val="00ED3538"/>
    <w:rsid w:val="00ED376A"/>
    <w:rsid w:val="00ED3F99"/>
    <w:rsid w:val="00ED47AB"/>
    <w:rsid w:val="00ED545C"/>
    <w:rsid w:val="00ED59FF"/>
    <w:rsid w:val="00ED669B"/>
    <w:rsid w:val="00ED76FF"/>
    <w:rsid w:val="00ED7CE2"/>
    <w:rsid w:val="00EE0130"/>
    <w:rsid w:val="00EE0136"/>
    <w:rsid w:val="00EE1458"/>
    <w:rsid w:val="00EE242F"/>
    <w:rsid w:val="00EE28A1"/>
    <w:rsid w:val="00EE2CDF"/>
    <w:rsid w:val="00EE2E29"/>
    <w:rsid w:val="00EE3082"/>
    <w:rsid w:val="00EE5A82"/>
    <w:rsid w:val="00EE6005"/>
    <w:rsid w:val="00EE62D2"/>
    <w:rsid w:val="00EE7B13"/>
    <w:rsid w:val="00EF1A82"/>
    <w:rsid w:val="00EF2D99"/>
    <w:rsid w:val="00EF759C"/>
    <w:rsid w:val="00F01E57"/>
    <w:rsid w:val="00F02C55"/>
    <w:rsid w:val="00F032DE"/>
    <w:rsid w:val="00F03524"/>
    <w:rsid w:val="00F03934"/>
    <w:rsid w:val="00F03F50"/>
    <w:rsid w:val="00F1066B"/>
    <w:rsid w:val="00F11F0E"/>
    <w:rsid w:val="00F130B3"/>
    <w:rsid w:val="00F13D28"/>
    <w:rsid w:val="00F13F85"/>
    <w:rsid w:val="00F14323"/>
    <w:rsid w:val="00F14E27"/>
    <w:rsid w:val="00F1512F"/>
    <w:rsid w:val="00F15DDF"/>
    <w:rsid w:val="00F16F14"/>
    <w:rsid w:val="00F21B83"/>
    <w:rsid w:val="00F21C63"/>
    <w:rsid w:val="00F228A4"/>
    <w:rsid w:val="00F25D4A"/>
    <w:rsid w:val="00F27DFB"/>
    <w:rsid w:val="00F30E1E"/>
    <w:rsid w:val="00F32C6C"/>
    <w:rsid w:val="00F32EF0"/>
    <w:rsid w:val="00F3354D"/>
    <w:rsid w:val="00F342EF"/>
    <w:rsid w:val="00F34689"/>
    <w:rsid w:val="00F36FFF"/>
    <w:rsid w:val="00F3770A"/>
    <w:rsid w:val="00F40FCE"/>
    <w:rsid w:val="00F41159"/>
    <w:rsid w:val="00F419BD"/>
    <w:rsid w:val="00F4519A"/>
    <w:rsid w:val="00F45CCF"/>
    <w:rsid w:val="00F46E58"/>
    <w:rsid w:val="00F470DC"/>
    <w:rsid w:val="00F504ED"/>
    <w:rsid w:val="00F50AE8"/>
    <w:rsid w:val="00F50F07"/>
    <w:rsid w:val="00F51C90"/>
    <w:rsid w:val="00F52614"/>
    <w:rsid w:val="00F53058"/>
    <w:rsid w:val="00F53948"/>
    <w:rsid w:val="00F54D49"/>
    <w:rsid w:val="00F5531C"/>
    <w:rsid w:val="00F55823"/>
    <w:rsid w:val="00F55AB3"/>
    <w:rsid w:val="00F55BB5"/>
    <w:rsid w:val="00F565ED"/>
    <w:rsid w:val="00F56C13"/>
    <w:rsid w:val="00F63A90"/>
    <w:rsid w:val="00F65217"/>
    <w:rsid w:val="00F66FE6"/>
    <w:rsid w:val="00F70C0E"/>
    <w:rsid w:val="00F71AC5"/>
    <w:rsid w:val="00F7262E"/>
    <w:rsid w:val="00F746DC"/>
    <w:rsid w:val="00F76033"/>
    <w:rsid w:val="00F76966"/>
    <w:rsid w:val="00F77D49"/>
    <w:rsid w:val="00F80731"/>
    <w:rsid w:val="00F82B81"/>
    <w:rsid w:val="00F83961"/>
    <w:rsid w:val="00F846AA"/>
    <w:rsid w:val="00F84766"/>
    <w:rsid w:val="00F84B50"/>
    <w:rsid w:val="00F8524E"/>
    <w:rsid w:val="00F8709C"/>
    <w:rsid w:val="00F8744E"/>
    <w:rsid w:val="00F87486"/>
    <w:rsid w:val="00F87DB8"/>
    <w:rsid w:val="00F90918"/>
    <w:rsid w:val="00F90E21"/>
    <w:rsid w:val="00F918A3"/>
    <w:rsid w:val="00F91C23"/>
    <w:rsid w:val="00F92643"/>
    <w:rsid w:val="00F938C1"/>
    <w:rsid w:val="00F93996"/>
    <w:rsid w:val="00F9428A"/>
    <w:rsid w:val="00F968E3"/>
    <w:rsid w:val="00F97CBB"/>
    <w:rsid w:val="00FA071C"/>
    <w:rsid w:val="00FA0E43"/>
    <w:rsid w:val="00FA0F33"/>
    <w:rsid w:val="00FA1E88"/>
    <w:rsid w:val="00FA25E9"/>
    <w:rsid w:val="00FA3E67"/>
    <w:rsid w:val="00FA7117"/>
    <w:rsid w:val="00FA7A22"/>
    <w:rsid w:val="00FB030C"/>
    <w:rsid w:val="00FB4CB6"/>
    <w:rsid w:val="00FB5B41"/>
    <w:rsid w:val="00FB705F"/>
    <w:rsid w:val="00FB734F"/>
    <w:rsid w:val="00FC18B4"/>
    <w:rsid w:val="00FC1DD9"/>
    <w:rsid w:val="00FC394B"/>
    <w:rsid w:val="00FD1F06"/>
    <w:rsid w:val="00FD39AB"/>
    <w:rsid w:val="00FD3B4B"/>
    <w:rsid w:val="00FD42EC"/>
    <w:rsid w:val="00FD47CF"/>
    <w:rsid w:val="00FD50BB"/>
    <w:rsid w:val="00FD71DD"/>
    <w:rsid w:val="00FE0A2E"/>
    <w:rsid w:val="00FE0EE0"/>
    <w:rsid w:val="00FE209D"/>
    <w:rsid w:val="00FE2A5E"/>
    <w:rsid w:val="00FE3347"/>
    <w:rsid w:val="00FE4AFA"/>
    <w:rsid w:val="00FE4F00"/>
    <w:rsid w:val="00FE698D"/>
    <w:rsid w:val="00FF07C7"/>
    <w:rsid w:val="00FF0F71"/>
    <w:rsid w:val="00FF189C"/>
    <w:rsid w:val="00FF2374"/>
    <w:rsid w:val="00FF376C"/>
    <w:rsid w:val="00FF66BE"/>
    <w:rsid w:val="00FF6A86"/>
    <w:rsid w:val="00FF7EE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434F"/>
  <w15:docId w15:val="{D4C8D3BD-3DEF-44A9-A0FA-A3047128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D9"/>
    <w:pPr>
      <w:spacing w:after="20" w:line="250" w:lineRule="atLeast"/>
    </w:pPr>
    <w:rPr>
      <w:rFonts w:ascii="Arial" w:hAnsi="Arial"/>
      <w:sz w:val="20"/>
    </w:rPr>
  </w:style>
  <w:style w:type="paragraph" w:styleId="Heading1">
    <w:name w:val="heading 1"/>
    <w:basedOn w:val="Normal"/>
    <w:next w:val="Normal"/>
    <w:link w:val="Heading1Char"/>
    <w:uiPriority w:val="9"/>
    <w:semiHidden/>
    <w:qFormat/>
    <w:rsid w:val="008D3F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42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52"/>
    <w:rPr>
      <w:rFonts w:ascii="Tahoma" w:hAnsi="Tahoma" w:cs="Tahoma"/>
      <w:sz w:val="16"/>
      <w:szCs w:val="16"/>
    </w:rPr>
  </w:style>
  <w:style w:type="paragraph" w:styleId="Header">
    <w:name w:val="header"/>
    <w:basedOn w:val="Normal"/>
    <w:link w:val="HeaderChar"/>
    <w:uiPriority w:val="99"/>
    <w:semiHidden/>
    <w:rsid w:val="002E6499"/>
    <w:pPr>
      <w:tabs>
        <w:tab w:val="center" w:pos="4536"/>
        <w:tab w:val="right" w:pos="9072"/>
      </w:tabs>
      <w:spacing w:after="0"/>
    </w:pPr>
  </w:style>
  <w:style w:type="character" w:customStyle="1" w:styleId="HeaderChar">
    <w:name w:val="Header Char"/>
    <w:basedOn w:val="DefaultParagraphFont"/>
    <w:link w:val="Header"/>
    <w:uiPriority w:val="99"/>
    <w:semiHidden/>
    <w:rsid w:val="00710952"/>
    <w:rPr>
      <w:rFonts w:ascii="HelveticaNeueLT Std" w:hAnsi="HelveticaNeueLT Std"/>
      <w:sz w:val="20"/>
    </w:rPr>
  </w:style>
  <w:style w:type="paragraph" w:styleId="Footer">
    <w:name w:val="footer"/>
    <w:basedOn w:val="Normal"/>
    <w:link w:val="FooterChar"/>
    <w:uiPriority w:val="99"/>
    <w:rsid w:val="002E6499"/>
    <w:pPr>
      <w:tabs>
        <w:tab w:val="center" w:pos="4536"/>
        <w:tab w:val="right" w:pos="9072"/>
      </w:tabs>
      <w:spacing w:after="0"/>
    </w:pPr>
  </w:style>
  <w:style w:type="character" w:customStyle="1" w:styleId="FooterChar">
    <w:name w:val="Footer Char"/>
    <w:basedOn w:val="DefaultParagraphFont"/>
    <w:link w:val="Footer"/>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Normal"/>
    <w:qFormat/>
    <w:rsid w:val="00662FB2"/>
    <w:pPr>
      <w:framePr w:w="5103" w:wrap="around" w:vAnchor="page" w:hAnchor="text" w:y="2042" w:anchorLock="1"/>
      <w:spacing w:after="0"/>
    </w:pPr>
    <w:rPr>
      <w:b/>
      <w:color w:val="005391"/>
      <w:sz w:val="40"/>
      <w:szCs w:val="16"/>
    </w:rPr>
  </w:style>
  <w:style w:type="character" w:styleId="Hyperlink">
    <w:name w:val="Hyperlink"/>
    <w:basedOn w:val="DefaultParagraphFont"/>
    <w:uiPriority w:val="99"/>
    <w:rsid w:val="00712CAB"/>
    <w:rPr>
      <w:color w:val="0000FF" w:themeColor="hyperlink"/>
      <w:u w:val="single"/>
    </w:rPr>
  </w:style>
  <w:style w:type="paragraph" w:customStyle="1" w:styleId="ANRegister">
    <w:name w:val="AN Register"/>
    <w:basedOn w:val="Header"/>
    <w:qFormat/>
    <w:rsid w:val="00FF376C"/>
    <w:pPr>
      <w:framePr w:wrap="around" w:vAnchor="page" w:hAnchor="text" w:y="16189" w:anchorLock="1"/>
      <w:spacing w:line="240" w:lineRule="auto"/>
    </w:pPr>
    <w:rPr>
      <w:color w:val="005391"/>
      <w:sz w:val="12"/>
    </w:rPr>
  </w:style>
  <w:style w:type="paragraph" w:customStyle="1" w:styleId="ANAddress">
    <w:name w:val="AN Address"/>
    <w:basedOn w:val="Header"/>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Normal"/>
    <w:qFormat/>
    <w:rsid w:val="00DC4DD9"/>
    <w:pPr>
      <w:spacing w:before="160" w:after="280"/>
    </w:pPr>
    <w:rPr>
      <w:sz w:val="24"/>
      <w:lang w:val="en-US"/>
    </w:rPr>
  </w:style>
  <w:style w:type="paragraph" w:customStyle="1" w:styleId="ANNote">
    <w:name w:val="AN Note"/>
    <w:basedOn w:val="Normal"/>
    <w:qFormat/>
    <w:rsid w:val="00D831C3"/>
    <w:pPr>
      <w:spacing w:after="0" w:line="240" w:lineRule="auto"/>
    </w:pPr>
    <w:rPr>
      <w:sz w:val="14"/>
      <w:lang w:val="en-US"/>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leGrid">
    <w:name w:val="Table Grid"/>
    <w:basedOn w:val="TableNormal"/>
    <w:rsid w:val="003918C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
    <w:basedOn w:val="Normal"/>
    <w:link w:val="ListParagraphChar"/>
    <w:uiPriority w:val="34"/>
    <w:qFormat/>
    <w:rsid w:val="003918C4"/>
    <w:pPr>
      <w:widowControl w:val="0"/>
      <w:spacing w:after="0"/>
      <w:ind w:left="720"/>
      <w:contextualSpacing/>
    </w:pPr>
    <w:rPr>
      <w:rFonts w:eastAsia="Times New Roman" w:cs="Times New Roman"/>
      <w:szCs w:val="20"/>
      <w:lang w:val="en-GB"/>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ANNormalText">
    <w:name w:val="AN Normal Text"/>
    <w:basedOn w:val="Normal"/>
    <w:rsid w:val="004678D1"/>
    <w:pPr>
      <w:widowControl w:val="0"/>
      <w:spacing w:after="240"/>
    </w:pPr>
    <w:rPr>
      <w:rFonts w:eastAsia="Times New Roman" w:cs="Times New Roman"/>
      <w:szCs w:val="20"/>
      <w:lang w:val="en-GB"/>
    </w:rPr>
  </w:style>
  <w:style w:type="paragraph" w:customStyle="1" w:styleId="ANSignoffs">
    <w:name w:val="AN Signoffs"/>
    <w:basedOn w:val="Normal"/>
    <w:rsid w:val="004678D1"/>
    <w:pPr>
      <w:widowControl w:val="0"/>
      <w:spacing w:after="0" w:line="160" w:lineRule="atLeast"/>
    </w:pPr>
    <w:rPr>
      <w:rFonts w:eastAsia="Times New Roman" w:cs="Times New Roman"/>
      <w:b/>
      <w:sz w:val="14"/>
      <w:szCs w:val="20"/>
      <w:lang w:val="en-GB"/>
    </w:rPr>
  </w:style>
  <w:style w:type="character" w:customStyle="1" w:styleId="apple-style-span">
    <w:name w:val="apple-style-span"/>
    <w:rsid w:val="004678D1"/>
  </w:style>
  <w:style w:type="character" w:styleId="CommentReference">
    <w:name w:val="annotation reference"/>
    <w:basedOn w:val="DefaultParagraphFont"/>
    <w:uiPriority w:val="99"/>
    <w:semiHidden/>
    <w:rsid w:val="00F8524E"/>
    <w:rPr>
      <w:sz w:val="16"/>
      <w:szCs w:val="16"/>
    </w:rPr>
  </w:style>
  <w:style w:type="paragraph" w:styleId="CommentText">
    <w:name w:val="annotation text"/>
    <w:basedOn w:val="Normal"/>
    <w:link w:val="CommentTextChar"/>
    <w:uiPriority w:val="99"/>
    <w:semiHidden/>
    <w:rsid w:val="00F8524E"/>
    <w:pPr>
      <w:spacing w:line="240" w:lineRule="auto"/>
    </w:pPr>
    <w:rPr>
      <w:szCs w:val="20"/>
    </w:rPr>
  </w:style>
  <w:style w:type="character" w:customStyle="1" w:styleId="CommentTextChar">
    <w:name w:val="Comment Text Char"/>
    <w:basedOn w:val="DefaultParagraphFont"/>
    <w:link w:val="CommentText"/>
    <w:uiPriority w:val="99"/>
    <w:semiHidden/>
    <w:rsid w:val="00F8524E"/>
    <w:rPr>
      <w:rFonts w:ascii="Arial" w:hAnsi="Arial"/>
      <w:sz w:val="20"/>
      <w:szCs w:val="20"/>
    </w:rPr>
  </w:style>
  <w:style w:type="paragraph" w:styleId="CommentSubject">
    <w:name w:val="annotation subject"/>
    <w:basedOn w:val="CommentText"/>
    <w:next w:val="CommentText"/>
    <w:link w:val="CommentSubjectChar"/>
    <w:uiPriority w:val="99"/>
    <w:semiHidden/>
    <w:rsid w:val="00F8524E"/>
    <w:rPr>
      <w:b/>
      <w:bCs/>
    </w:rPr>
  </w:style>
  <w:style w:type="character" w:customStyle="1" w:styleId="CommentSubjectChar">
    <w:name w:val="Comment Subject Char"/>
    <w:basedOn w:val="CommentTextChar"/>
    <w:link w:val="CommentSubject"/>
    <w:uiPriority w:val="99"/>
    <w:semiHidden/>
    <w:rsid w:val="00F8524E"/>
    <w:rPr>
      <w:rFonts w:ascii="Arial" w:hAnsi="Arial"/>
      <w:b/>
      <w:bCs/>
      <w:sz w:val="20"/>
      <w:szCs w:val="20"/>
    </w:rPr>
  </w:style>
  <w:style w:type="character" w:customStyle="1" w:styleId="Heading3Char">
    <w:name w:val="Heading 3 Char"/>
    <w:basedOn w:val="DefaultParagraphFont"/>
    <w:link w:val="Heading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TableNormal"/>
    <w:next w:val="TableGrid"/>
    <w:rsid w:val="00910A9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7C62"/>
    <w:rPr>
      <w:b/>
      <w:bCs/>
    </w:rPr>
  </w:style>
  <w:style w:type="character" w:styleId="FollowedHyperlink">
    <w:name w:val="FollowedHyperlink"/>
    <w:basedOn w:val="DefaultParagraphFont"/>
    <w:uiPriority w:val="99"/>
    <w:semiHidden/>
    <w:rsid w:val="00A17D02"/>
    <w:rPr>
      <w:color w:val="800080" w:themeColor="followedHyperlink"/>
      <w:u w:val="single"/>
    </w:rPr>
  </w:style>
  <w:style w:type="paragraph" w:customStyle="1" w:styleId="Pa6">
    <w:name w:val="Pa6"/>
    <w:basedOn w:val="Normal"/>
    <w:next w:val="Normal"/>
    <w:uiPriority w:val="99"/>
    <w:rsid w:val="006A34E5"/>
    <w:pPr>
      <w:autoSpaceDE w:val="0"/>
      <w:autoSpaceDN w:val="0"/>
      <w:adjustRightInd w:val="0"/>
      <w:spacing w:after="0" w:line="241" w:lineRule="atLeast"/>
    </w:pPr>
    <w:rPr>
      <w:rFonts w:ascii="HelveticaNeueLT Std" w:hAnsi="HelveticaNeueLT Std"/>
      <w:sz w:val="24"/>
      <w:szCs w:val="24"/>
      <w:lang w:val="en-US"/>
    </w:rPr>
  </w:style>
  <w:style w:type="character" w:customStyle="1" w:styleId="ListParagraphChar">
    <w:name w:val="List Paragraph Char"/>
    <w:aliases w:val="cS List Paragraph Char"/>
    <w:basedOn w:val="DefaultParagraphFont"/>
    <w:link w:val="ListParagraph"/>
    <w:uiPriority w:val="34"/>
    <w:locked/>
    <w:rsid w:val="001F00AA"/>
    <w:rPr>
      <w:rFonts w:ascii="Arial" w:eastAsia="Times New Roman" w:hAnsi="Arial" w:cs="Times New Roman"/>
      <w:sz w:val="20"/>
      <w:szCs w:val="20"/>
      <w:lang w:val="en-GB"/>
    </w:rPr>
  </w:style>
  <w:style w:type="paragraph" w:customStyle="1" w:styleId="maincontent-introduction">
    <w:name w:val="maincontent-introduction"/>
    <w:basedOn w:val="Normal"/>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NormalWeb">
    <w:name w:val="Normal (Web)"/>
    <w:basedOn w:val="Normal"/>
    <w:uiPriority w:val="99"/>
    <w:semiHidden/>
    <w:unhideWhenUse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a1">
    <w:name w:val="Pa1"/>
    <w:basedOn w:val="Default"/>
    <w:next w:val="Default"/>
    <w:uiPriority w:val="99"/>
    <w:rsid w:val="00D30137"/>
    <w:pPr>
      <w:spacing w:line="241" w:lineRule="atLeast"/>
    </w:pPr>
    <w:rPr>
      <w:rFonts w:ascii="HelveticaNeueLT Std Lt" w:eastAsiaTheme="minorHAnsi" w:hAnsi="HelveticaNeueLT Std Lt" w:cstheme="minorBidi"/>
      <w:color w:val="auto"/>
      <w:lang w:eastAsia="en-US"/>
    </w:rPr>
  </w:style>
  <w:style w:type="paragraph" w:styleId="Revision">
    <w:name w:val="Revision"/>
    <w:hidden/>
    <w:uiPriority w:val="99"/>
    <w:semiHidden/>
    <w:rsid w:val="007557B7"/>
    <w:pPr>
      <w:spacing w:after="0" w:line="240" w:lineRule="auto"/>
    </w:pPr>
    <w:rPr>
      <w:rFonts w:ascii="Arial" w:hAnsi="Arial"/>
      <w:sz w:val="20"/>
    </w:rPr>
  </w:style>
  <w:style w:type="paragraph" w:styleId="Date">
    <w:name w:val="Date"/>
    <w:basedOn w:val="Normal"/>
    <w:next w:val="Normal"/>
    <w:link w:val="DateChar"/>
    <w:uiPriority w:val="99"/>
    <w:semiHidden/>
    <w:rsid w:val="003B430C"/>
  </w:style>
  <w:style w:type="character" w:customStyle="1" w:styleId="DateChar">
    <w:name w:val="Date Char"/>
    <w:basedOn w:val="DefaultParagraphFont"/>
    <w:link w:val="Date"/>
    <w:uiPriority w:val="99"/>
    <w:semiHidden/>
    <w:rsid w:val="003B430C"/>
    <w:rPr>
      <w:rFonts w:ascii="Arial" w:hAnsi="Arial"/>
      <w:sz w:val="20"/>
    </w:rPr>
  </w:style>
  <w:style w:type="character" w:customStyle="1" w:styleId="A4">
    <w:name w:val="A4"/>
    <w:uiPriority w:val="99"/>
    <w:rsid w:val="00F91C23"/>
    <w:rPr>
      <w:rFonts w:cs="HelveticaNeueLT Std Lt"/>
      <w:color w:val="000000"/>
      <w:sz w:val="20"/>
      <w:szCs w:val="20"/>
    </w:rPr>
  </w:style>
  <w:style w:type="paragraph" w:customStyle="1" w:styleId="paragraph">
    <w:name w:val="paragraph"/>
    <w:basedOn w:val="Normal"/>
    <w:rsid w:val="00153E92"/>
    <w:pPr>
      <w:spacing w:after="0" w:line="240" w:lineRule="auto"/>
    </w:pPr>
    <w:rPr>
      <w:rFonts w:ascii="Times New Roman" w:hAnsi="Times New Roman" w:cs="Times New Roman"/>
      <w:sz w:val="24"/>
      <w:szCs w:val="24"/>
      <w:lang w:val="en-US"/>
    </w:rPr>
  </w:style>
  <w:style w:type="character" w:customStyle="1" w:styleId="spellingerror">
    <w:name w:val="spellingerror"/>
    <w:basedOn w:val="DefaultParagraphFont"/>
    <w:rsid w:val="00153E92"/>
  </w:style>
  <w:style w:type="character" w:customStyle="1" w:styleId="normaltextrun1">
    <w:name w:val="normaltextrun1"/>
    <w:basedOn w:val="DefaultParagraphFont"/>
    <w:rsid w:val="00153E92"/>
  </w:style>
  <w:style w:type="character" w:customStyle="1" w:styleId="eop">
    <w:name w:val="eop"/>
    <w:basedOn w:val="DefaultParagraphFont"/>
    <w:rsid w:val="00153E92"/>
  </w:style>
  <w:style w:type="character" w:customStyle="1" w:styleId="UnresolvedMention1">
    <w:name w:val="Unresolved Mention1"/>
    <w:basedOn w:val="DefaultParagraphFont"/>
    <w:uiPriority w:val="99"/>
    <w:semiHidden/>
    <w:unhideWhenUsed/>
    <w:rsid w:val="00F21B83"/>
    <w:rPr>
      <w:color w:val="808080"/>
      <w:shd w:val="clear" w:color="auto" w:fill="E6E6E6"/>
    </w:rPr>
  </w:style>
  <w:style w:type="character" w:customStyle="1" w:styleId="Heading1Char">
    <w:name w:val="Heading 1 Char"/>
    <w:basedOn w:val="DefaultParagraphFont"/>
    <w:link w:val="Heading1"/>
    <w:uiPriority w:val="9"/>
    <w:semiHidden/>
    <w:rsid w:val="008D3FF8"/>
    <w:rPr>
      <w:rFonts w:asciiTheme="majorHAnsi" w:eastAsiaTheme="majorEastAsia" w:hAnsiTheme="majorHAnsi" w:cstheme="majorBidi"/>
      <w:color w:val="365F91" w:themeColor="accent1" w:themeShade="BF"/>
      <w:sz w:val="32"/>
      <w:szCs w:val="32"/>
    </w:rPr>
  </w:style>
  <w:style w:type="paragraph" w:customStyle="1" w:styleId="hs18">
    <w:name w:val="hs18"/>
    <w:basedOn w:val="Normal"/>
    <w:rsid w:val="008D3FF8"/>
    <w:pPr>
      <w:snapToGrid w:val="0"/>
      <w:spacing w:after="0" w:line="240" w:lineRule="auto"/>
    </w:pPr>
    <w:rPr>
      <w:rFonts w:ascii="Times New Roman" w:hAnsi="Times New Roman" w:cs="Times New Roman"/>
      <w:color w:val="000000"/>
      <w:szCs w:val="20"/>
      <w:lang w:val="en-US"/>
    </w:rPr>
  </w:style>
  <w:style w:type="paragraph" w:customStyle="1" w:styleId="hs11">
    <w:name w:val="hs11"/>
    <w:basedOn w:val="Normal"/>
    <w:rsid w:val="008D3FF8"/>
    <w:pPr>
      <w:snapToGrid w:val="0"/>
      <w:spacing w:after="0" w:line="240" w:lineRule="auto"/>
    </w:pPr>
    <w:rPr>
      <w:rFonts w:ascii="Times New Roman" w:hAnsi="Times New Roman" w:cs="Times New Roman"/>
      <w:color w:val="000000"/>
      <w:szCs w:val="20"/>
      <w:lang w:val="en-US"/>
    </w:rPr>
  </w:style>
  <w:style w:type="character" w:customStyle="1" w:styleId="hs41">
    <w:name w:val="hs41"/>
    <w:basedOn w:val="DefaultParagraphFont"/>
    <w:rsid w:val="008D3FF8"/>
    <w:rPr>
      <w:strike w:val="0"/>
      <w:dstrike w:val="0"/>
      <w:color w:val="auto"/>
      <w:u w:val="none"/>
      <w:effect w:val="none"/>
    </w:rPr>
  </w:style>
  <w:style w:type="character" w:customStyle="1" w:styleId="hs51">
    <w:name w:val="hs51"/>
    <w:basedOn w:val="DefaultParagraphFont"/>
    <w:rsid w:val="008D3FF8"/>
    <w:rPr>
      <w:color w:val="auto"/>
    </w:rPr>
  </w:style>
  <w:style w:type="character" w:customStyle="1" w:styleId="UnresolvedMention2">
    <w:name w:val="Unresolved Mention2"/>
    <w:basedOn w:val="DefaultParagraphFont"/>
    <w:uiPriority w:val="99"/>
    <w:semiHidden/>
    <w:unhideWhenUsed/>
    <w:rsid w:val="00C619DE"/>
    <w:rPr>
      <w:color w:val="808080"/>
      <w:shd w:val="clear" w:color="auto" w:fill="E6E6E6"/>
    </w:rPr>
  </w:style>
  <w:style w:type="paragraph" w:customStyle="1" w:styleId="NoParagraphStyle">
    <w:name w:val="[No Paragraph Style]"/>
    <w:basedOn w:val="Normal"/>
    <w:rsid w:val="001B4E02"/>
    <w:pPr>
      <w:autoSpaceDE w:val="0"/>
      <w:autoSpaceDN w:val="0"/>
      <w:spacing w:after="0" w:line="288" w:lineRule="auto"/>
    </w:pPr>
    <w:rPr>
      <w:rFonts w:ascii="Times Regular" w:hAnsi="Times Regular" w:cs="Calibri"/>
      <w:color w:val="000000"/>
      <w:sz w:val="24"/>
      <w:szCs w:val="24"/>
      <w:lang w:val="en-US"/>
    </w:rPr>
  </w:style>
  <w:style w:type="paragraph" w:customStyle="1" w:styleId="Pa0">
    <w:name w:val="Pa0"/>
    <w:basedOn w:val="Default"/>
    <w:next w:val="Default"/>
    <w:uiPriority w:val="99"/>
    <w:rsid w:val="002E3A8A"/>
    <w:pPr>
      <w:spacing w:line="241" w:lineRule="atLeast"/>
    </w:pPr>
    <w:rPr>
      <w:rFonts w:ascii="HelveticaNeueLT Std" w:eastAsiaTheme="minorHAnsi" w:hAnsi="HelveticaNeueLT Std" w:cstheme="minorBidi"/>
      <w:color w:val="auto"/>
      <w:lang w:eastAsia="en-US"/>
    </w:rPr>
  </w:style>
  <w:style w:type="character" w:customStyle="1" w:styleId="A7">
    <w:name w:val="A7"/>
    <w:uiPriority w:val="99"/>
    <w:rsid w:val="002E3A8A"/>
    <w:rPr>
      <w:rFonts w:cs="HelveticaNeueLT Std"/>
      <w:b/>
      <w:bCs/>
      <w:color w:val="000000"/>
      <w:sz w:val="20"/>
      <w:szCs w:val="20"/>
    </w:rPr>
  </w:style>
  <w:style w:type="character" w:customStyle="1" w:styleId="UnresolvedMention3">
    <w:name w:val="Unresolved Mention3"/>
    <w:basedOn w:val="DefaultParagraphFont"/>
    <w:uiPriority w:val="99"/>
    <w:semiHidden/>
    <w:unhideWhenUsed/>
    <w:rsid w:val="00710216"/>
    <w:rPr>
      <w:color w:val="808080"/>
      <w:shd w:val="clear" w:color="auto" w:fill="E6E6E6"/>
    </w:rPr>
  </w:style>
  <w:style w:type="paragraph" w:customStyle="1" w:styleId="hs9">
    <w:name w:val="hs9"/>
    <w:basedOn w:val="Normal"/>
    <w:rsid w:val="008A022C"/>
    <w:pPr>
      <w:spacing w:after="0" w:line="240" w:lineRule="auto"/>
    </w:pPr>
    <w:rPr>
      <w:rFonts w:ascii="Times New Roman" w:hAnsi="Times New Roman" w:cs="Times New Roman"/>
      <w:color w:val="000000"/>
      <w:szCs w:val="20"/>
      <w:lang w:val="en-US"/>
    </w:rPr>
  </w:style>
  <w:style w:type="character" w:customStyle="1" w:styleId="hs31">
    <w:name w:val="hs31"/>
    <w:basedOn w:val="DefaultParagraphFont"/>
    <w:rsid w:val="008A022C"/>
    <w:rPr>
      <w:color w:val="auto"/>
    </w:rPr>
  </w:style>
  <w:style w:type="character" w:customStyle="1" w:styleId="UnresolvedMention4">
    <w:name w:val="Unresolved Mention4"/>
    <w:basedOn w:val="DefaultParagraphFont"/>
    <w:uiPriority w:val="99"/>
    <w:semiHidden/>
    <w:unhideWhenUsed/>
    <w:rsid w:val="00663621"/>
    <w:rPr>
      <w:color w:val="605E5C"/>
      <w:shd w:val="clear" w:color="auto" w:fill="E1DFDD"/>
    </w:rPr>
  </w:style>
  <w:style w:type="character" w:customStyle="1" w:styleId="UnresolvedMention5">
    <w:name w:val="Unresolved Mention5"/>
    <w:basedOn w:val="DefaultParagraphFont"/>
    <w:uiPriority w:val="99"/>
    <w:semiHidden/>
    <w:unhideWhenUsed/>
    <w:rsid w:val="005B2ACA"/>
    <w:rPr>
      <w:color w:val="605E5C"/>
      <w:shd w:val="clear" w:color="auto" w:fill="E1DFDD"/>
    </w:rPr>
  </w:style>
  <w:style w:type="paragraph" w:styleId="PlainText">
    <w:name w:val="Plain Text"/>
    <w:basedOn w:val="Normal"/>
    <w:link w:val="PlainTextChar"/>
    <w:uiPriority w:val="99"/>
    <w:semiHidden/>
    <w:unhideWhenUsed/>
    <w:rsid w:val="00172E23"/>
    <w:pPr>
      <w:spacing w:after="0" w:line="240" w:lineRule="auto"/>
    </w:pPr>
    <w:rPr>
      <w:rFonts w:cs="Arial"/>
      <w:sz w:val="22"/>
      <w:lang w:val="en-US"/>
    </w:rPr>
  </w:style>
  <w:style w:type="character" w:customStyle="1" w:styleId="PlainTextChar">
    <w:name w:val="Plain Text Char"/>
    <w:basedOn w:val="DefaultParagraphFont"/>
    <w:link w:val="PlainText"/>
    <w:uiPriority w:val="99"/>
    <w:semiHidden/>
    <w:rsid w:val="00172E23"/>
    <w:rPr>
      <w:rFonts w:ascii="Arial" w:hAnsi="Arial" w:cs="Arial"/>
      <w:lang w:val="en-US"/>
    </w:rPr>
  </w:style>
  <w:style w:type="character" w:styleId="UnresolvedMention">
    <w:name w:val="Unresolved Mention"/>
    <w:basedOn w:val="DefaultParagraphFont"/>
    <w:uiPriority w:val="99"/>
    <w:semiHidden/>
    <w:unhideWhenUsed/>
    <w:rsid w:val="002340F7"/>
    <w:rPr>
      <w:color w:val="605E5C"/>
      <w:shd w:val="clear" w:color="auto" w:fill="E1DFDD"/>
    </w:rPr>
  </w:style>
  <w:style w:type="paragraph" w:customStyle="1" w:styleId="3Intro-2-Bulleted">
    <w:name w:val="3_Intro-2-Bulleted"/>
    <w:basedOn w:val="Normal"/>
    <w:uiPriority w:val="99"/>
    <w:rsid w:val="00567BDE"/>
    <w:pPr>
      <w:autoSpaceDE w:val="0"/>
      <w:autoSpaceDN w:val="0"/>
      <w:spacing w:after="0" w:line="280" w:lineRule="atLeast"/>
      <w:ind w:left="283" w:hanging="283"/>
    </w:pPr>
    <w:rPr>
      <w:rFonts w:ascii="HelveticaNeueLT Std Lt" w:hAnsi="HelveticaNeueLT Std Lt" w:cs="Calibri"/>
      <w:color w:val="008ACB"/>
      <w:spacing w:val="-2"/>
      <w:szCs w:val="20"/>
      <w:lang w:val="en-US"/>
    </w:rPr>
  </w:style>
  <w:style w:type="character" w:customStyle="1" w:styleId="bold">
    <w:name w:val="bold"/>
    <w:basedOn w:val="DefaultParagraphFont"/>
    <w:uiPriority w:val="99"/>
    <w:rsid w:val="00567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6152">
      <w:bodyDiv w:val="1"/>
      <w:marLeft w:val="0"/>
      <w:marRight w:val="0"/>
      <w:marTop w:val="0"/>
      <w:marBottom w:val="0"/>
      <w:divBdr>
        <w:top w:val="none" w:sz="0" w:space="0" w:color="auto"/>
        <w:left w:val="none" w:sz="0" w:space="0" w:color="auto"/>
        <w:bottom w:val="none" w:sz="0" w:space="0" w:color="auto"/>
        <w:right w:val="none" w:sz="0" w:space="0" w:color="auto"/>
      </w:divBdr>
    </w:div>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202837389">
      <w:bodyDiv w:val="1"/>
      <w:marLeft w:val="0"/>
      <w:marRight w:val="0"/>
      <w:marTop w:val="0"/>
      <w:marBottom w:val="0"/>
      <w:divBdr>
        <w:top w:val="none" w:sz="0" w:space="0" w:color="auto"/>
        <w:left w:val="none" w:sz="0" w:space="0" w:color="auto"/>
        <w:bottom w:val="none" w:sz="0" w:space="0" w:color="auto"/>
        <w:right w:val="none" w:sz="0" w:space="0" w:color="auto"/>
      </w:divBdr>
    </w:div>
    <w:div w:id="208808960">
      <w:bodyDiv w:val="1"/>
      <w:marLeft w:val="0"/>
      <w:marRight w:val="0"/>
      <w:marTop w:val="0"/>
      <w:marBottom w:val="0"/>
      <w:divBdr>
        <w:top w:val="none" w:sz="0" w:space="0" w:color="auto"/>
        <w:left w:val="none" w:sz="0" w:space="0" w:color="auto"/>
        <w:bottom w:val="none" w:sz="0" w:space="0" w:color="auto"/>
        <w:right w:val="none" w:sz="0" w:space="0" w:color="auto"/>
      </w:divBdr>
    </w:div>
    <w:div w:id="237986182">
      <w:bodyDiv w:val="1"/>
      <w:marLeft w:val="0"/>
      <w:marRight w:val="0"/>
      <w:marTop w:val="0"/>
      <w:marBottom w:val="0"/>
      <w:divBdr>
        <w:top w:val="none" w:sz="0" w:space="0" w:color="auto"/>
        <w:left w:val="none" w:sz="0" w:space="0" w:color="auto"/>
        <w:bottom w:val="none" w:sz="0" w:space="0" w:color="auto"/>
        <w:right w:val="none" w:sz="0" w:space="0" w:color="auto"/>
      </w:divBdr>
    </w:div>
    <w:div w:id="375200415">
      <w:bodyDiv w:val="1"/>
      <w:marLeft w:val="0"/>
      <w:marRight w:val="0"/>
      <w:marTop w:val="0"/>
      <w:marBottom w:val="0"/>
      <w:divBdr>
        <w:top w:val="none" w:sz="0" w:space="0" w:color="auto"/>
        <w:left w:val="none" w:sz="0" w:space="0" w:color="auto"/>
        <w:bottom w:val="none" w:sz="0" w:space="0" w:color="auto"/>
        <w:right w:val="none" w:sz="0" w:space="0" w:color="auto"/>
      </w:divBdr>
    </w:div>
    <w:div w:id="436099445">
      <w:bodyDiv w:val="1"/>
      <w:marLeft w:val="0"/>
      <w:marRight w:val="0"/>
      <w:marTop w:val="0"/>
      <w:marBottom w:val="0"/>
      <w:divBdr>
        <w:top w:val="none" w:sz="0" w:space="0" w:color="auto"/>
        <w:left w:val="none" w:sz="0" w:space="0" w:color="auto"/>
        <w:bottom w:val="none" w:sz="0" w:space="0" w:color="auto"/>
        <w:right w:val="none" w:sz="0" w:space="0" w:color="auto"/>
      </w:divBdr>
    </w:div>
    <w:div w:id="486093823">
      <w:bodyDiv w:val="1"/>
      <w:marLeft w:val="0"/>
      <w:marRight w:val="0"/>
      <w:marTop w:val="0"/>
      <w:marBottom w:val="0"/>
      <w:divBdr>
        <w:top w:val="none" w:sz="0" w:space="0" w:color="auto"/>
        <w:left w:val="none" w:sz="0" w:space="0" w:color="auto"/>
        <w:bottom w:val="none" w:sz="0" w:space="0" w:color="auto"/>
        <w:right w:val="none" w:sz="0" w:space="0" w:color="auto"/>
      </w:divBdr>
    </w:div>
    <w:div w:id="553278675">
      <w:bodyDiv w:val="1"/>
      <w:marLeft w:val="0"/>
      <w:marRight w:val="0"/>
      <w:marTop w:val="0"/>
      <w:marBottom w:val="0"/>
      <w:divBdr>
        <w:top w:val="none" w:sz="0" w:space="0" w:color="auto"/>
        <w:left w:val="none" w:sz="0" w:space="0" w:color="auto"/>
        <w:bottom w:val="none" w:sz="0" w:space="0" w:color="auto"/>
        <w:right w:val="none" w:sz="0" w:space="0" w:color="auto"/>
      </w:divBdr>
    </w:div>
    <w:div w:id="560600444">
      <w:bodyDiv w:val="1"/>
      <w:marLeft w:val="0"/>
      <w:marRight w:val="0"/>
      <w:marTop w:val="0"/>
      <w:marBottom w:val="0"/>
      <w:divBdr>
        <w:top w:val="none" w:sz="0" w:space="0" w:color="auto"/>
        <w:left w:val="none" w:sz="0" w:space="0" w:color="auto"/>
        <w:bottom w:val="none" w:sz="0" w:space="0" w:color="auto"/>
        <w:right w:val="none" w:sz="0" w:space="0" w:color="auto"/>
      </w:divBdr>
    </w:div>
    <w:div w:id="575015656">
      <w:bodyDiv w:val="1"/>
      <w:marLeft w:val="0"/>
      <w:marRight w:val="0"/>
      <w:marTop w:val="0"/>
      <w:marBottom w:val="0"/>
      <w:divBdr>
        <w:top w:val="none" w:sz="0" w:space="0" w:color="auto"/>
        <w:left w:val="none" w:sz="0" w:space="0" w:color="auto"/>
        <w:bottom w:val="none" w:sz="0" w:space="0" w:color="auto"/>
        <w:right w:val="none" w:sz="0" w:space="0" w:color="auto"/>
      </w:divBdr>
    </w:div>
    <w:div w:id="640963456">
      <w:bodyDiv w:val="1"/>
      <w:marLeft w:val="0"/>
      <w:marRight w:val="0"/>
      <w:marTop w:val="0"/>
      <w:marBottom w:val="0"/>
      <w:divBdr>
        <w:top w:val="none" w:sz="0" w:space="0" w:color="auto"/>
        <w:left w:val="none" w:sz="0" w:space="0" w:color="auto"/>
        <w:bottom w:val="none" w:sz="0" w:space="0" w:color="auto"/>
        <w:right w:val="none" w:sz="0" w:space="0" w:color="auto"/>
      </w:divBdr>
    </w:div>
    <w:div w:id="643316988">
      <w:bodyDiv w:val="1"/>
      <w:marLeft w:val="0"/>
      <w:marRight w:val="0"/>
      <w:marTop w:val="0"/>
      <w:marBottom w:val="0"/>
      <w:divBdr>
        <w:top w:val="none" w:sz="0" w:space="0" w:color="auto"/>
        <w:left w:val="none" w:sz="0" w:space="0" w:color="auto"/>
        <w:bottom w:val="none" w:sz="0" w:space="0" w:color="auto"/>
        <w:right w:val="none" w:sz="0" w:space="0" w:color="auto"/>
      </w:divBdr>
    </w:div>
    <w:div w:id="659698640">
      <w:bodyDiv w:val="1"/>
      <w:marLeft w:val="0"/>
      <w:marRight w:val="0"/>
      <w:marTop w:val="0"/>
      <w:marBottom w:val="0"/>
      <w:divBdr>
        <w:top w:val="none" w:sz="0" w:space="0" w:color="auto"/>
        <w:left w:val="none" w:sz="0" w:space="0" w:color="auto"/>
        <w:bottom w:val="none" w:sz="0" w:space="0" w:color="auto"/>
        <w:right w:val="none" w:sz="0" w:space="0" w:color="auto"/>
      </w:divBdr>
    </w:div>
    <w:div w:id="690910100">
      <w:bodyDiv w:val="1"/>
      <w:marLeft w:val="0"/>
      <w:marRight w:val="0"/>
      <w:marTop w:val="0"/>
      <w:marBottom w:val="0"/>
      <w:divBdr>
        <w:top w:val="none" w:sz="0" w:space="0" w:color="auto"/>
        <w:left w:val="none" w:sz="0" w:space="0" w:color="auto"/>
        <w:bottom w:val="none" w:sz="0" w:space="0" w:color="auto"/>
        <w:right w:val="none" w:sz="0" w:space="0" w:color="auto"/>
      </w:divBdr>
    </w:div>
    <w:div w:id="758797246">
      <w:bodyDiv w:val="1"/>
      <w:marLeft w:val="0"/>
      <w:marRight w:val="0"/>
      <w:marTop w:val="0"/>
      <w:marBottom w:val="0"/>
      <w:divBdr>
        <w:top w:val="none" w:sz="0" w:space="0" w:color="auto"/>
        <w:left w:val="none" w:sz="0" w:space="0" w:color="auto"/>
        <w:bottom w:val="none" w:sz="0" w:space="0" w:color="auto"/>
        <w:right w:val="none" w:sz="0" w:space="0" w:color="auto"/>
      </w:divBdr>
      <w:divsChild>
        <w:div w:id="597911934">
          <w:marLeft w:val="0"/>
          <w:marRight w:val="0"/>
          <w:marTop w:val="0"/>
          <w:marBottom w:val="0"/>
          <w:divBdr>
            <w:top w:val="none" w:sz="0" w:space="0" w:color="auto"/>
            <w:left w:val="none" w:sz="0" w:space="0" w:color="auto"/>
            <w:bottom w:val="none" w:sz="0" w:space="0" w:color="auto"/>
            <w:right w:val="none" w:sz="0" w:space="0" w:color="auto"/>
          </w:divBdr>
          <w:divsChild>
            <w:div w:id="2065175207">
              <w:marLeft w:val="0"/>
              <w:marRight w:val="0"/>
              <w:marTop w:val="0"/>
              <w:marBottom w:val="0"/>
              <w:divBdr>
                <w:top w:val="none" w:sz="0" w:space="0" w:color="auto"/>
                <w:left w:val="none" w:sz="0" w:space="0" w:color="auto"/>
                <w:bottom w:val="none" w:sz="0" w:space="0" w:color="auto"/>
                <w:right w:val="none" w:sz="0" w:space="0" w:color="auto"/>
              </w:divBdr>
              <w:divsChild>
                <w:div w:id="1993022232">
                  <w:marLeft w:val="0"/>
                  <w:marRight w:val="0"/>
                  <w:marTop w:val="0"/>
                  <w:marBottom w:val="0"/>
                  <w:divBdr>
                    <w:top w:val="none" w:sz="0" w:space="0" w:color="auto"/>
                    <w:left w:val="none" w:sz="0" w:space="0" w:color="auto"/>
                    <w:bottom w:val="none" w:sz="0" w:space="0" w:color="auto"/>
                    <w:right w:val="none" w:sz="0" w:space="0" w:color="auto"/>
                  </w:divBdr>
                  <w:divsChild>
                    <w:div w:id="1216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2322">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852114560">
      <w:bodyDiv w:val="1"/>
      <w:marLeft w:val="0"/>
      <w:marRight w:val="0"/>
      <w:marTop w:val="0"/>
      <w:marBottom w:val="0"/>
      <w:divBdr>
        <w:top w:val="none" w:sz="0" w:space="0" w:color="auto"/>
        <w:left w:val="none" w:sz="0" w:space="0" w:color="auto"/>
        <w:bottom w:val="none" w:sz="0" w:space="0" w:color="auto"/>
        <w:right w:val="none" w:sz="0" w:space="0" w:color="auto"/>
      </w:divBdr>
      <w:divsChild>
        <w:div w:id="2000184722">
          <w:marLeft w:val="288"/>
          <w:marRight w:val="0"/>
          <w:marTop w:val="120"/>
          <w:marBottom w:val="40"/>
          <w:divBdr>
            <w:top w:val="none" w:sz="0" w:space="0" w:color="auto"/>
            <w:left w:val="none" w:sz="0" w:space="0" w:color="auto"/>
            <w:bottom w:val="none" w:sz="0" w:space="0" w:color="auto"/>
            <w:right w:val="none" w:sz="0" w:space="0" w:color="auto"/>
          </w:divBdr>
        </w:div>
      </w:divsChild>
    </w:div>
    <w:div w:id="904146982">
      <w:bodyDiv w:val="1"/>
      <w:marLeft w:val="0"/>
      <w:marRight w:val="0"/>
      <w:marTop w:val="0"/>
      <w:marBottom w:val="0"/>
      <w:divBdr>
        <w:top w:val="none" w:sz="0" w:space="0" w:color="auto"/>
        <w:left w:val="none" w:sz="0" w:space="0" w:color="auto"/>
        <w:bottom w:val="none" w:sz="0" w:space="0" w:color="auto"/>
        <w:right w:val="none" w:sz="0" w:space="0" w:color="auto"/>
      </w:divBdr>
    </w:div>
    <w:div w:id="1006784438">
      <w:bodyDiv w:val="1"/>
      <w:marLeft w:val="0"/>
      <w:marRight w:val="0"/>
      <w:marTop w:val="0"/>
      <w:marBottom w:val="0"/>
      <w:divBdr>
        <w:top w:val="none" w:sz="0" w:space="0" w:color="auto"/>
        <w:left w:val="none" w:sz="0" w:space="0" w:color="auto"/>
        <w:bottom w:val="none" w:sz="0" w:space="0" w:color="auto"/>
        <w:right w:val="none" w:sz="0" w:space="0" w:color="auto"/>
      </w:divBdr>
    </w:div>
    <w:div w:id="1049383284">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065907895">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175417366">
      <w:bodyDiv w:val="1"/>
      <w:marLeft w:val="0"/>
      <w:marRight w:val="0"/>
      <w:marTop w:val="0"/>
      <w:marBottom w:val="0"/>
      <w:divBdr>
        <w:top w:val="none" w:sz="0" w:space="0" w:color="auto"/>
        <w:left w:val="none" w:sz="0" w:space="0" w:color="auto"/>
        <w:bottom w:val="none" w:sz="0" w:space="0" w:color="auto"/>
        <w:right w:val="none" w:sz="0" w:space="0" w:color="auto"/>
      </w:divBdr>
    </w:div>
    <w:div w:id="1209025400">
      <w:bodyDiv w:val="1"/>
      <w:marLeft w:val="0"/>
      <w:marRight w:val="0"/>
      <w:marTop w:val="0"/>
      <w:marBottom w:val="0"/>
      <w:divBdr>
        <w:top w:val="none" w:sz="0" w:space="0" w:color="auto"/>
        <w:left w:val="none" w:sz="0" w:space="0" w:color="auto"/>
        <w:bottom w:val="none" w:sz="0" w:space="0" w:color="auto"/>
        <w:right w:val="none" w:sz="0" w:space="0" w:color="auto"/>
      </w:divBdr>
    </w:div>
    <w:div w:id="1221287126">
      <w:bodyDiv w:val="1"/>
      <w:marLeft w:val="0"/>
      <w:marRight w:val="0"/>
      <w:marTop w:val="0"/>
      <w:marBottom w:val="0"/>
      <w:divBdr>
        <w:top w:val="none" w:sz="0" w:space="0" w:color="auto"/>
        <w:left w:val="none" w:sz="0" w:space="0" w:color="auto"/>
        <w:bottom w:val="none" w:sz="0" w:space="0" w:color="auto"/>
        <w:right w:val="none" w:sz="0" w:space="0" w:color="auto"/>
      </w:divBdr>
    </w:div>
    <w:div w:id="1224681577">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245067190">
      <w:bodyDiv w:val="1"/>
      <w:marLeft w:val="0"/>
      <w:marRight w:val="0"/>
      <w:marTop w:val="0"/>
      <w:marBottom w:val="0"/>
      <w:divBdr>
        <w:top w:val="none" w:sz="0" w:space="0" w:color="auto"/>
        <w:left w:val="none" w:sz="0" w:space="0" w:color="auto"/>
        <w:bottom w:val="none" w:sz="0" w:space="0" w:color="auto"/>
        <w:right w:val="none" w:sz="0" w:space="0" w:color="auto"/>
      </w:divBdr>
    </w:div>
    <w:div w:id="1250849866">
      <w:bodyDiv w:val="1"/>
      <w:marLeft w:val="0"/>
      <w:marRight w:val="0"/>
      <w:marTop w:val="0"/>
      <w:marBottom w:val="0"/>
      <w:divBdr>
        <w:top w:val="none" w:sz="0" w:space="0" w:color="auto"/>
        <w:left w:val="none" w:sz="0" w:space="0" w:color="auto"/>
        <w:bottom w:val="none" w:sz="0" w:space="0" w:color="auto"/>
        <w:right w:val="none" w:sz="0" w:space="0" w:color="auto"/>
      </w:divBdr>
      <w:divsChild>
        <w:div w:id="799759968">
          <w:marLeft w:val="288"/>
          <w:marRight w:val="0"/>
          <w:marTop w:val="120"/>
          <w:marBottom w:val="120"/>
          <w:divBdr>
            <w:top w:val="none" w:sz="0" w:space="0" w:color="auto"/>
            <w:left w:val="none" w:sz="0" w:space="0" w:color="auto"/>
            <w:bottom w:val="none" w:sz="0" w:space="0" w:color="auto"/>
            <w:right w:val="none" w:sz="0" w:space="0" w:color="auto"/>
          </w:divBdr>
        </w:div>
        <w:div w:id="168838670">
          <w:marLeft w:val="562"/>
          <w:marRight w:val="0"/>
          <w:marTop w:val="40"/>
          <w:marBottom w:val="120"/>
          <w:divBdr>
            <w:top w:val="none" w:sz="0" w:space="0" w:color="auto"/>
            <w:left w:val="none" w:sz="0" w:space="0" w:color="auto"/>
            <w:bottom w:val="none" w:sz="0" w:space="0" w:color="auto"/>
            <w:right w:val="none" w:sz="0" w:space="0" w:color="auto"/>
          </w:divBdr>
        </w:div>
        <w:div w:id="2136176488">
          <w:marLeft w:val="562"/>
          <w:marRight w:val="0"/>
          <w:marTop w:val="40"/>
          <w:marBottom w:val="120"/>
          <w:divBdr>
            <w:top w:val="none" w:sz="0" w:space="0" w:color="auto"/>
            <w:left w:val="none" w:sz="0" w:space="0" w:color="auto"/>
            <w:bottom w:val="none" w:sz="0" w:space="0" w:color="auto"/>
            <w:right w:val="none" w:sz="0" w:space="0" w:color="auto"/>
          </w:divBdr>
        </w:div>
        <w:div w:id="1278681323">
          <w:marLeft w:val="562"/>
          <w:marRight w:val="0"/>
          <w:marTop w:val="40"/>
          <w:marBottom w:val="120"/>
          <w:divBdr>
            <w:top w:val="none" w:sz="0" w:space="0" w:color="auto"/>
            <w:left w:val="none" w:sz="0" w:space="0" w:color="auto"/>
            <w:bottom w:val="none" w:sz="0" w:space="0" w:color="auto"/>
            <w:right w:val="none" w:sz="0" w:space="0" w:color="auto"/>
          </w:divBdr>
        </w:div>
        <w:div w:id="677001464">
          <w:marLeft w:val="288"/>
          <w:marRight w:val="0"/>
          <w:marTop w:val="120"/>
          <w:marBottom w:val="120"/>
          <w:divBdr>
            <w:top w:val="none" w:sz="0" w:space="0" w:color="auto"/>
            <w:left w:val="none" w:sz="0" w:space="0" w:color="auto"/>
            <w:bottom w:val="none" w:sz="0" w:space="0" w:color="auto"/>
            <w:right w:val="none" w:sz="0" w:space="0" w:color="auto"/>
          </w:divBdr>
        </w:div>
        <w:div w:id="375352204">
          <w:marLeft w:val="562"/>
          <w:marRight w:val="0"/>
          <w:marTop w:val="40"/>
          <w:marBottom w:val="120"/>
          <w:divBdr>
            <w:top w:val="none" w:sz="0" w:space="0" w:color="auto"/>
            <w:left w:val="none" w:sz="0" w:space="0" w:color="auto"/>
            <w:bottom w:val="none" w:sz="0" w:space="0" w:color="auto"/>
            <w:right w:val="none" w:sz="0" w:space="0" w:color="auto"/>
          </w:divBdr>
        </w:div>
        <w:div w:id="1512597239">
          <w:marLeft w:val="562"/>
          <w:marRight w:val="0"/>
          <w:marTop w:val="40"/>
          <w:marBottom w:val="120"/>
          <w:divBdr>
            <w:top w:val="none" w:sz="0" w:space="0" w:color="auto"/>
            <w:left w:val="none" w:sz="0" w:space="0" w:color="auto"/>
            <w:bottom w:val="none" w:sz="0" w:space="0" w:color="auto"/>
            <w:right w:val="none" w:sz="0" w:space="0" w:color="auto"/>
          </w:divBdr>
        </w:div>
        <w:div w:id="911624928">
          <w:marLeft w:val="288"/>
          <w:marRight w:val="0"/>
          <w:marTop w:val="120"/>
          <w:marBottom w:val="120"/>
          <w:divBdr>
            <w:top w:val="none" w:sz="0" w:space="0" w:color="auto"/>
            <w:left w:val="none" w:sz="0" w:space="0" w:color="auto"/>
            <w:bottom w:val="none" w:sz="0" w:space="0" w:color="auto"/>
            <w:right w:val="none" w:sz="0" w:space="0" w:color="auto"/>
          </w:divBdr>
        </w:div>
        <w:div w:id="1176924340">
          <w:marLeft w:val="288"/>
          <w:marRight w:val="0"/>
          <w:marTop w:val="120"/>
          <w:marBottom w:val="120"/>
          <w:divBdr>
            <w:top w:val="none" w:sz="0" w:space="0" w:color="auto"/>
            <w:left w:val="none" w:sz="0" w:space="0" w:color="auto"/>
            <w:bottom w:val="none" w:sz="0" w:space="0" w:color="auto"/>
            <w:right w:val="none" w:sz="0" w:space="0" w:color="auto"/>
          </w:divBdr>
        </w:div>
      </w:divsChild>
    </w:div>
    <w:div w:id="1267273639">
      <w:bodyDiv w:val="1"/>
      <w:marLeft w:val="0"/>
      <w:marRight w:val="0"/>
      <w:marTop w:val="0"/>
      <w:marBottom w:val="0"/>
      <w:divBdr>
        <w:top w:val="none" w:sz="0" w:space="0" w:color="auto"/>
        <w:left w:val="none" w:sz="0" w:space="0" w:color="auto"/>
        <w:bottom w:val="none" w:sz="0" w:space="0" w:color="auto"/>
        <w:right w:val="none" w:sz="0" w:space="0" w:color="auto"/>
      </w:divBdr>
    </w:div>
    <w:div w:id="1301881576">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426073017">
      <w:bodyDiv w:val="1"/>
      <w:marLeft w:val="0"/>
      <w:marRight w:val="0"/>
      <w:marTop w:val="0"/>
      <w:marBottom w:val="0"/>
      <w:divBdr>
        <w:top w:val="none" w:sz="0" w:space="0" w:color="auto"/>
        <w:left w:val="none" w:sz="0" w:space="0" w:color="auto"/>
        <w:bottom w:val="none" w:sz="0" w:space="0" w:color="auto"/>
        <w:right w:val="none" w:sz="0" w:space="0" w:color="auto"/>
      </w:divBdr>
    </w:div>
    <w:div w:id="1445345155">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601831723">
      <w:bodyDiv w:val="1"/>
      <w:marLeft w:val="0"/>
      <w:marRight w:val="0"/>
      <w:marTop w:val="0"/>
      <w:marBottom w:val="0"/>
      <w:divBdr>
        <w:top w:val="none" w:sz="0" w:space="0" w:color="auto"/>
        <w:left w:val="none" w:sz="0" w:space="0" w:color="auto"/>
        <w:bottom w:val="none" w:sz="0" w:space="0" w:color="auto"/>
        <w:right w:val="none" w:sz="0" w:space="0" w:color="auto"/>
      </w:divBdr>
    </w:div>
    <w:div w:id="1662347916">
      <w:bodyDiv w:val="1"/>
      <w:marLeft w:val="0"/>
      <w:marRight w:val="0"/>
      <w:marTop w:val="0"/>
      <w:marBottom w:val="0"/>
      <w:divBdr>
        <w:top w:val="none" w:sz="0" w:space="0" w:color="auto"/>
        <w:left w:val="none" w:sz="0" w:space="0" w:color="auto"/>
        <w:bottom w:val="none" w:sz="0" w:space="0" w:color="auto"/>
        <w:right w:val="none" w:sz="0" w:space="0" w:color="auto"/>
      </w:divBdr>
    </w:div>
    <w:div w:id="1674262866">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1736464544">
      <w:bodyDiv w:val="1"/>
      <w:marLeft w:val="0"/>
      <w:marRight w:val="0"/>
      <w:marTop w:val="0"/>
      <w:marBottom w:val="0"/>
      <w:divBdr>
        <w:top w:val="none" w:sz="0" w:space="0" w:color="auto"/>
        <w:left w:val="none" w:sz="0" w:space="0" w:color="auto"/>
        <w:bottom w:val="none" w:sz="0" w:space="0" w:color="auto"/>
        <w:right w:val="none" w:sz="0" w:space="0" w:color="auto"/>
      </w:divBdr>
    </w:div>
    <w:div w:id="1771394957">
      <w:bodyDiv w:val="1"/>
      <w:marLeft w:val="0"/>
      <w:marRight w:val="0"/>
      <w:marTop w:val="0"/>
      <w:marBottom w:val="0"/>
      <w:divBdr>
        <w:top w:val="none" w:sz="0" w:space="0" w:color="auto"/>
        <w:left w:val="none" w:sz="0" w:space="0" w:color="auto"/>
        <w:bottom w:val="none" w:sz="0" w:space="0" w:color="auto"/>
        <w:right w:val="none" w:sz="0" w:space="0" w:color="auto"/>
      </w:divBdr>
    </w:div>
    <w:div w:id="1885289992">
      <w:bodyDiv w:val="1"/>
      <w:marLeft w:val="0"/>
      <w:marRight w:val="0"/>
      <w:marTop w:val="0"/>
      <w:marBottom w:val="0"/>
      <w:divBdr>
        <w:top w:val="none" w:sz="0" w:space="0" w:color="auto"/>
        <w:left w:val="none" w:sz="0" w:space="0" w:color="auto"/>
        <w:bottom w:val="none" w:sz="0" w:space="0" w:color="auto"/>
        <w:right w:val="none" w:sz="0" w:space="0" w:color="auto"/>
      </w:divBdr>
    </w:div>
    <w:div w:id="1889490672">
      <w:bodyDiv w:val="1"/>
      <w:marLeft w:val="0"/>
      <w:marRight w:val="0"/>
      <w:marTop w:val="0"/>
      <w:marBottom w:val="0"/>
      <w:divBdr>
        <w:top w:val="none" w:sz="0" w:space="0" w:color="auto"/>
        <w:left w:val="none" w:sz="0" w:space="0" w:color="auto"/>
        <w:bottom w:val="none" w:sz="0" w:space="0" w:color="auto"/>
        <w:right w:val="none" w:sz="0" w:space="0" w:color="auto"/>
      </w:divBdr>
      <w:divsChild>
        <w:div w:id="185796208">
          <w:marLeft w:val="0"/>
          <w:marRight w:val="0"/>
          <w:marTop w:val="600"/>
          <w:marBottom w:val="450"/>
          <w:divBdr>
            <w:top w:val="none" w:sz="0" w:space="0" w:color="auto"/>
            <w:left w:val="none" w:sz="0" w:space="0" w:color="auto"/>
            <w:bottom w:val="none" w:sz="0" w:space="0" w:color="auto"/>
            <w:right w:val="none" w:sz="0" w:space="0" w:color="auto"/>
          </w:divBdr>
          <w:divsChild>
            <w:div w:id="1913153457">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 w:id="1908031711">
      <w:bodyDiv w:val="1"/>
      <w:marLeft w:val="0"/>
      <w:marRight w:val="0"/>
      <w:marTop w:val="0"/>
      <w:marBottom w:val="0"/>
      <w:divBdr>
        <w:top w:val="none" w:sz="0" w:space="0" w:color="auto"/>
        <w:left w:val="none" w:sz="0" w:space="0" w:color="auto"/>
        <w:bottom w:val="none" w:sz="0" w:space="0" w:color="auto"/>
        <w:right w:val="none" w:sz="0" w:space="0" w:color="auto"/>
      </w:divBdr>
    </w:div>
    <w:div w:id="1922059243">
      <w:bodyDiv w:val="1"/>
      <w:marLeft w:val="0"/>
      <w:marRight w:val="0"/>
      <w:marTop w:val="0"/>
      <w:marBottom w:val="0"/>
      <w:divBdr>
        <w:top w:val="none" w:sz="0" w:space="0" w:color="auto"/>
        <w:left w:val="none" w:sz="0" w:space="0" w:color="auto"/>
        <w:bottom w:val="none" w:sz="0" w:space="0" w:color="auto"/>
        <w:right w:val="none" w:sz="0" w:space="0" w:color="auto"/>
      </w:divBdr>
    </w:div>
    <w:div w:id="1933658420">
      <w:bodyDiv w:val="1"/>
      <w:marLeft w:val="0"/>
      <w:marRight w:val="0"/>
      <w:marTop w:val="0"/>
      <w:marBottom w:val="0"/>
      <w:divBdr>
        <w:top w:val="none" w:sz="0" w:space="0" w:color="auto"/>
        <w:left w:val="none" w:sz="0" w:space="0" w:color="auto"/>
        <w:bottom w:val="none" w:sz="0" w:space="0" w:color="auto"/>
        <w:right w:val="none" w:sz="0" w:space="0" w:color="auto"/>
      </w:divBdr>
    </w:div>
    <w:div w:id="2030834886">
      <w:bodyDiv w:val="1"/>
      <w:marLeft w:val="0"/>
      <w:marRight w:val="0"/>
      <w:marTop w:val="0"/>
      <w:marBottom w:val="0"/>
      <w:divBdr>
        <w:top w:val="none" w:sz="0" w:space="0" w:color="auto"/>
        <w:left w:val="none" w:sz="0" w:space="0" w:color="auto"/>
        <w:bottom w:val="none" w:sz="0" w:space="0" w:color="auto"/>
        <w:right w:val="none" w:sz="0" w:space="0" w:color="auto"/>
      </w:divBdr>
      <w:divsChild>
        <w:div w:id="1165393181">
          <w:marLeft w:val="288"/>
          <w:marRight w:val="0"/>
          <w:marTop w:val="120"/>
          <w:marBottom w:val="40"/>
          <w:divBdr>
            <w:top w:val="none" w:sz="0" w:space="0" w:color="auto"/>
            <w:left w:val="none" w:sz="0" w:space="0" w:color="auto"/>
            <w:bottom w:val="none" w:sz="0" w:space="0" w:color="auto"/>
            <w:right w:val="none" w:sz="0" w:space="0" w:color="auto"/>
          </w:divBdr>
        </w:div>
      </w:divsChild>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053654395">
      <w:bodyDiv w:val="1"/>
      <w:marLeft w:val="0"/>
      <w:marRight w:val="0"/>
      <w:marTop w:val="0"/>
      <w:marBottom w:val="0"/>
      <w:divBdr>
        <w:top w:val="none" w:sz="0" w:space="0" w:color="auto"/>
        <w:left w:val="none" w:sz="0" w:space="0" w:color="auto"/>
        <w:bottom w:val="none" w:sz="0" w:space="0" w:color="auto"/>
        <w:right w:val="none" w:sz="0" w:space="0" w:color="auto"/>
      </w:divBdr>
    </w:div>
    <w:div w:id="2092924428">
      <w:bodyDiv w:val="1"/>
      <w:marLeft w:val="0"/>
      <w:marRight w:val="0"/>
      <w:marTop w:val="0"/>
      <w:marBottom w:val="0"/>
      <w:divBdr>
        <w:top w:val="none" w:sz="0" w:space="0" w:color="auto"/>
        <w:left w:val="none" w:sz="0" w:space="0" w:color="auto"/>
        <w:bottom w:val="none" w:sz="0" w:space="0" w:color="auto"/>
        <w:right w:val="none" w:sz="0" w:space="0" w:color="auto"/>
      </w:divBdr>
    </w:div>
    <w:div w:id="2101443691">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zo.no/Q32019Repor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86F5001C4B8489E24DFF33090FF4D" ma:contentTypeVersion="11" ma:contentTypeDescription="Create a new document." ma:contentTypeScope="" ma:versionID="4d5beba7b4249cf2513a1a824e54535c">
  <xsd:schema xmlns:xsd="http://www.w3.org/2001/XMLSchema" xmlns:xs="http://www.w3.org/2001/XMLSchema" xmlns:p="http://schemas.microsoft.com/office/2006/metadata/properties" xmlns:ns3="5205e7ef-11b9-4b1d-b17d-fe95473cc7d8" xmlns:ns4="3faab32a-06a4-4e5a-9c7d-9751f3bcb741" targetNamespace="http://schemas.microsoft.com/office/2006/metadata/properties" ma:root="true" ma:fieldsID="cfc5c3151dc9ecefb2f1d3d947f0e8e8" ns3:_="" ns4:_="">
    <xsd:import namespace="5205e7ef-11b9-4b1d-b17d-fe95473cc7d8"/>
    <xsd:import namespace="3faab32a-06a4-4e5a-9c7d-9751f3bcb7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5e7ef-11b9-4b1d-b17d-fe95473cc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ab32a-06a4-4e5a-9c7d-9751f3bcb7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8E72-13D1-4657-A76B-07487D38EC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081749-B14E-4A94-90F1-91C0FEA9E23F}">
  <ds:schemaRefs>
    <ds:schemaRef ds:uri="http://schemas.microsoft.com/sharepoint/v3/contenttype/forms"/>
  </ds:schemaRefs>
</ds:datastoreItem>
</file>

<file path=customXml/itemProps3.xml><?xml version="1.0" encoding="utf-8"?>
<ds:datastoreItem xmlns:ds="http://schemas.openxmlformats.org/officeDocument/2006/customXml" ds:itemID="{BF298665-F8E1-441D-90C7-B26A43DCD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5e7ef-11b9-4b1d-b17d-fe95473cc7d8"/>
    <ds:schemaRef ds:uri="3faab32a-06a4-4e5a-9c7d-9751f3bcb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B5E81-085D-4221-86B7-0D209433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Von Platen, L. (Linda)</cp:lastModifiedBy>
  <cp:revision>10</cp:revision>
  <cp:lastPrinted>2019-10-23T09:45:00Z</cp:lastPrinted>
  <dcterms:created xsi:type="dcterms:W3CDTF">2019-10-23T12:40:00Z</dcterms:created>
  <dcterms:modified xsi:type="dcterms:W3CDTF">2019-10-23T12:51:00Z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ClusterCode">
    <vt:lpwstr>6;#CEUR|c2b0dd99-0ebb-4475-af32-8c000ce005d6</vt:lpwstr>
  </property>
  <property fmtid="{D5CDD505-2E9C-101B-9397-08002B2CF9AE}" pid="3" name="AN-RegionName">
    <vt:lpwstr>9;#Europe and Africa|58554c4e-5df7-4b89-af8c-c99a1ac8ea8d</vt:lpwstr>
  </property>
  <property fmtid="{D5CDD505-2E9C-101B-9397-08002B2CF9AE}" pid="4" name="AN-ClusterName">
    <vt:lpwstr>7;#Central Europe|b1cfca3a-f357-40e6-98ad-6479002c6777</vt:lpwstr>
  </property>
  <property fmtid="{D5CDD505-2E9C-101B-9397-08002B2CF9AE}" pid="5" name="AN-CountryCode">
    <vt:lpwstr>21;#NL|9f4958bd-1869-478b-8336-595b3208e9ea</vt:lpwstr>
  </property>
  <property fmtid="{D5CDD505-2E9C-101B-9397-08002B2CF9AE}" pid="6" name="ContentTypeId">
    <vt:lpwstr>0x01010095D86F5001C4B8489E24DFF33090FF4D</vt:lpwstr>
  </property>
  <property fmtid="{D5CDD505-2E9C-101B-9397-08002B2CF9AE}" pid="7" name="AN-BusinessAreaCode">
    <vt:lpwstr>17;#OC|f1b01b99-3585-40ee-98a3-9a7d88f753be</vt:lpwstr>
  </property>
  <property fmtid="{D5CDD505-2E9C-101B-9397-08002B2CF9AE}" pid="8" name="AN-Keywords">
    <vt:lpwstr/>
  </property>
  <property fmtid="{D5CDD505-2E9C-101B-9397-08002B2CF9AE}" pid="9" name="AN-BusinessUnitCode">
    <vt:lpwstr>55;#HQFF|2f1abbdf-68e3-4d73-90ff-cf81ab2b227d</vt:lpwstr>
  </property>
  <property fmtid="{D5CDD505-2E9C-101B-9397-08002B2CF9AE}" pid="10" name="AN-CountryName">
    <vt:lpwstr>22;#Netherlands|ed1c09d8-4a4e-45fe-97d5-146264f42403</vt:lpwstr>
  </property>
  <property fmtid="{D5CDD505-2E9C-101B-9397-08002B2CF9AE}" pid="11" name="AN-SecurityClass">
    <vt:lpwstr>45;#Restricted|bbd8224c-5f2c-46d6-b6c8-7d3985b69fd1</vt:lpwstr>
  </property>
  <property fmtid="{D5CDD505-2E9C-101B-9397-08002B2CF9AE}" pid="12" name="AN-BusinessAreaName">
    <vt:lpwstr>18;#Other|28e9acb3-fbbc-4d9d-bba8-2ba86c5016d2</vt:lpwstr>
  </property>
  <property fmtid="{D5CDD505-2E9C-101B-9397-08002B2CF9AE}" pid="13" name="AN-SiteCode">
    <vt:lpwstr>31;#AMS|abe4f3ba-b26c-49b3-b5e8-d02ff727835c</vt:lpwstr>
  </property>
  <property fmtid="{D5CDD505-2E9C-101B-9397-08002B2CF9AE}" pid="14" name="AN-BusinessUnitName">
    <vt:lpwstr>56;#Finance Functions|34b3a9ef-b841-40cb-a7e3-182842d17a91</vt:lpwstr>
  </property>
  <property fmtid="{D5CDD505-2E9C-101B-9397-08002B2CF9AE}" pid="15" name="AN-SiteName">
    <vt:lpwstr>28;#Amsterdam|7372b14a-68dc-431b-9ebc-dc4e8e27c37f</vt:lpwstr>
  </property>
  <property fmtid="{D5CDD505-2E9C-101B-9397-08002B2CF9AE}" pid="16" name="AN-RegionCode">
    <vt:lpwstr>8;#EURA|37519b14-9275-4619-a8f1-f7c9f2cc73a5</vt:lpwstr>
  </property>
  <property fmtid="{D5CDD505-2E9C-101B-9397-08002B2CF9AE}" pid="17" name="AN-TopicArea">
    <vt:lpwstr>146;#Financial|fd2b1d53-d00c-4c74-9b9e-3e9d58cb1af0</vt:lpwstr>
  </property>
  <property fmtid="{D5CDD505-2E9C-101B-9397-08002B2CF9AE}" pid="18" name="ad2168abc306415a91d71ea6c7fad86b">
    <vt:lpwstr/>
  </property>
</Properties>
</file>