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C5" w:rsidRPr="0034523E" w:rsidRDefault="00B816D2" w:rsidP="00E06230">
      <w:pPr>
        <w:rPr>
          <w:sz w:val="20"/>
        </w:rPr>
      </w:pPr>
      <w:r w:rsidRPr="0034523E">
        <w:rPr>
          <w:sz w:val="20"/>
        </w:rPr>
        <w:t>Skå</w:t>
      </w:r>
      <w:r w:rsidR="002B4DC5" w:rsidRPr="0034523E">
        <w:rPr>
          <w:sz w:val="20"/>
        </w:rPr>
        <w:t xml:space="preserve">nes befolkning ökade </w:t>
      </w:r>
      <w:r w:rsidRPr="0034523E">
        <w:rPr>
          <w:sz w:val="20"/>
        </w:rPr>
        <w:t xml:space="preserve">med 10 981 invånare 2013, men sysselsättningen hänger inte med. Skåne har bland de högsta arbetslöshetstalen </w:t>
      </w:r>
      <w:r w:rsidR="0034523E">
        <w:rPr>
          <w:sz w:val="20"/>
        </w:rPr>
        <w:t>på</w:t>
      </w:r>
      <w:r w:rsidRPr="0034523E">
        <w:rPr>
          <w:sz w:val="20"/>
        </w:rPr>
        <w:t xml:space="preserve"> 10,</w:t>
      </w:r>
      <w:r w:rsidR="0034523E" w:rsidRPr="0034523E">
        <w:rPr>
          <w:sz w:val="20"/>
        </w:rPr>
        <w:t>4</w:t>
      </w:r>
      <w:r w:rsidRPr="0034523E">
        <w:rPr>
          <w:sz w:val="20"/>
        </w:rPr>
        <w:t xml:space="preserve"> procent, två procentenheter </w:t>
      </w:r>
      <w:r w:rsidR="0034523E">
        <w:rPr>
          <w:sz w:val="20"/>
        </w:rPr>
        <w:t>över riket</w:t>
      </w:r>
      <w:r w:rsidRPr="0034523E">
        <w:rPr>
          <w:sz w:val="20"/>
        </w:rPr>
        <w:t xml:space="preserve">. För </w:t>
      </w:r>
      <w:r w:rsidR="002B4DC5" w:rsidRPr="0034523E">
        <w:rPr>
          <w:sz w:val="20"/>
        </w:rPr>
        <w:t>att</w:t>
      </w:r>
      <w:r w:rsidRPr="0034523E">
        <w:rPr>
          <w:sz w:val="20"/>
        </w:rPr>
        <w:t xml:space="preserve"> </w:t>
      </w:r>
      <w:r w:rsidR="002B4DC5" w:rsidRPr="0034523E">
        <w:rPr>
          <w:sz w:val="20"/>
        </w:rPr>
        <w:t xml:space="preserve">arbetslösheten ska sjunka måste möjligheterna till arbetspendling </w:t>
      </w:r>
      <w:r w:rsidR="0034523E">
        <w:rPr>
          <w:sz w:val="20"/>
        </w:rPr>
        <w:t>stärkas</w:t>
      </w:r>
      <w:r w:rsidR="002B4DC5" w:rsidRPr="0034523E">
        <w:rPr>
          <w:sz w:val="20"/>
        </w:rPr>
        <w:t>, främst genom utbyggd kollektivtrafik</w:t>
      </w:r>
      <w:r w:rsidRPr="0034523E">
        <w:rPr>
          <w:sz w:val="20"/>
        </w:rPr>
        <w:t>.</w:t>
      </w:r>
      <w:r w:rsidR="002B4DC5" w:rsidRPr="0034523E">
        <w:rPr>
          <w:sz w:val="20"/>
        </w:rPr>
        <w:t xml:space="preserve"> R</w:t>
      </w:r>
      <w:r w:rsidRPr="0034523E">
        <w:rPr>
          <w:sz w:val="20"/>
        </w:rPr>
        <w:t xml:space="preserve">egion Skånes ambition är att fördubbla </w:t>
      </w:r>
      <w:r w:rsidR="0034523E">
        <w:rPr>
          <w:sz w:val="20"/>
        </w:rPr>
        <w:t>resandet</w:t>
      </w:r>
      <w:r w:rsidRPr="0034523E">
        <w:rPr>
          <w:sz w:val="20"/>
        </w:rPr>
        <w:t xml:space="preserve"> </w:t>
      </w:r>
      <w:r w:rsidR="0034523E">
        <w:rPr>
          <w:sz w:val="20"/>
        </w:rPr>
        <w:t>till</w:t>
      </w:r>
      <w:r w:rsidR="002B4DC5" w:rsidRPr="0034523E">
        <w:rPr>
          <w:sz w:val="20"/>
        </w:rPr>
        <w:t xml:space="preserve"> år </w:t>
      </w:r>
      <w:r w:rsidRPr="0034523E">
        <w:rPr>
          <w:sz w:val="20"/>
        </w:rPr>
        <w:t>2020</w:t>
      </w:r>
      <w:r w:rsidR="002B4DC5" w:rsidRPr="0034523E">
        <w:rPr>
          <w:sz w:val="20"/>
        </w:rPr>
        <w:t xml:space="preserve"> (bas</w:t>
      </w:r>
      <w:r w:rsidRPr="0034523E">
        <w:rPr>
          <w:sz w:val="20"/>
        </w:rPr>
        <w:t>år</w:t>
      </w:r>
      <w:r w:rsidR="002B4DC5" w:rsidRPr="0034523E">
        <w:rPr>
          <w:sz w:val="20"/>
        </w:rPr>
        <w:t xml:space="preserve"> 2006: 112 miljoner</w:t>
      </w:r>
      <w:r w:rsidRPr="0034523E">
        <w:rPr>
          <w:sz w:val="20"/>
        </w:rPr>
        <w:t xml:space="preserve">) samt öka marknadsandelen till 40 </w:t>
      </w:r>
      <w:r w:rsidR="0034523E">
        <w:rPr>
          <w:sz w:val="20"/>
        </w:rPr>
        <w:t>%</w:t>
      </w:r>
      <w:r w:rsidRPr="0034523E">
        <w:rPr>
          <w:sz w:val="20"/>
        </w:rPr>
        <w:t xml:space="preserve"> år 2030. </w:t>
      </w:r>
    </w:p>
    <w:p w:rsidR="006D2A02" w:rsidRPr="0034523E" w:rsidRDefault="00B816D2" w:rsidP="00E06230">
      <w:pPr>
        <w:rPr>
          <w:sz w:val="20"/>
        </w:rPr>
      </w:pPr>
      <w:r w:rsidRPr="0034523E">
        <w:rPr>
          <w:sz w:val="20"/>
        </w:rPr>
        <w:t xml:space="preserve">För att det ska vara möjligt krävs </w:t>
      </w:r>
      <w:r w:rsidR="002B4DC5" w:rsidRPr="0034523E">
        <w:rPr>
          <w:sz w:val="20"/>
        </w:rPr>
        <w:t>bättre infrastruktur</w:t>
      </w:r>
      <w:r w:rsidRPr="0034523E">
        <w:rPr>
          <w:sz w:val="20"/>
        </w:rPr>
        <w:t>. Järnvägsnätet i Skå</w:t>
      </w:r>
      <w:r w:rsidR="002B4DC5" w:rsidRPr="0034523E">
        <w:rPr>
          <w:sz w:val="20"/>
        </w:rPr>
        <w:t>ne är hårt belastat. Det finns allvarliga flaskhalsar, inte minst på de stora stråken Södra Stambanan och Västkustbanan</w:t>
      </w:r>
      <w:r w:rsidR="008F5257">
        <w:rPr>
          <w:sz w:val="20"/>
        </w:rPr>
        <w:t>,</w:t>
      </w:r>
      <w:r w:rsidR="002B4DC5" w:rsidRPr="0034523E">
        <w:rPr>
          <w:sz w:val="20"/>
        </w:rPr>
        <w:t xml:space="preserve"> där </w:t>
      </w:r>
      <w:r w:rsidR="009C440C" w:rsidRPr="0034523E">
        <w:rPr>
          <w:sz w:val="20"/>
        </w:rPr>
        <w:t>regionaltåg</w:t>
      </w:r>
      <w:r w:rsidR="002B4DC5" w:rsidRPr="0034523E">
        <w:rPr>
          <w:sz w:val="20"/>
        </w:rPr>
        <w:t xml:space="preserve"> trängs </w:t>
      </w:r>
      <w:r w:rsidR="008F5257">
        <w:rPr>
          <w:sz w:val="20"/>
        </w:rPr>
        <w:t>med fjärrtrafik</w:t>
      </w:r>
      <w:r w:rsidR="002B4DC5" w:rsidRPr="0034523E">
        <w:rPr>
          <w:sz w:val="20"/>
        </w:rPr>
        <w:t xml:space="preserve"> och gods. Anpassningen av övrig järnväg för </w:t>
      </w:r>
      <w:r w:rsidR="009C440C" w:rsidRPr="0034523E">
        <w:rPr>
          <w:sz w:val="20"/>
        </w:rPr>
        <w:t>regionaltåg</w:t>
      </w:r>
      <w:r w:rsidR="008F5257">
        <w:rPr>
          <w:sz w:val="20"/>
        </w:rPr>
        <w:t>trafik</w:t>
      </w:r>
      <w:r w:rsidR="009C440C" w:rsidRPr="0034523E">
        <w:rPr>
          <w:sz w:val="20"/>
        </w:rPr>
        <w:t xml:space="preserve"> skjuts på framtiden.</w:t>
      </w:r>
    </w:p>
    <w:p w:rsidR="006D2A02" w:rsidRPr="008F5257" w:rsidRDefault="001C729A" w:rsidP="00CC6CB7">
      <w:pPr>
        <w:spacing w:after="0"/>
        <w:rPr>
          <w:b/>
          <w:sz w:val="24"/>
        </w:rPr>
      </w:pPr>
      <w:r w:rsidRPr="008F5257">
        <w:rPr>
          <w:b/>
          <w:sz w:val="24"/>
        </w:rPr>
        <w:t>Förlorad tid på grund av brister i infrastrukturen</w:t>
      </w:r>
    </w:p>
    <w:p w:rsidR="006D2A02" w:rsidRPr="0034523E" w:rsidRDefault="009C440C" w:rsidP="006D2A02">
      <w:pPr>
        <w:rPr>
          <w:sz w:val="20"/>
        </w:rPr>
      </w:pPr>
      <w:r w:rsidRPr="0034523E">
        <w:rPr>
          <w:sz w:val="20"/>
        </w:rPr>
        <w:t>Under 2013 skedde</w:t>
      </w:r>
      <w:r w:rsidR="008F5257">
        <w:rPr>
          <w:sz w:val="20"/>
        </w:rPr>
        <w:t xml:space="preserve"> 152 </w:t>
      </w:r>
      <w:r w:rsidR="006D2A02" w:rsidRPr="0034523E">
        <w:rPr>
          <w:sz w:val="20"/>
        </w:rPr>
        <w:t xml:space="preserve">miljoner </w:t>
      </w:r>
      <w:r w:rsidRPr="0034523E">
        <w:rPr>
          <w:sz w:val="20"/>
        </w:rPr>
        <w:t xml:space="preserve">resor med Skånetrafiken </w:t>
      </w:r>
      <w:r w:rsidR="006D2A02" w:rsidRPr="0034523E">
        <w:rPr>
          <w:sz w:val="20"/>
        </w:rPr>
        <w:t xml:space="preserve">(149). </w:t>
      </w:r>
      <w:r w:rsidRPr="0034523E">
        <w:rPr>
          <w:sz w:val="20"/>
        </w:rPr>
        <w:t xml:space="preserve">Regionaltåg ökade mest; </w:t>
      </w:r>
      <w:r w:rsidR="006D2A02" w:rsidRPr="0034523E">
        <w:rPr>
          <w:sz w:val="20"/>
        </w:rPr>
        <w:t>Pågatåg</w:t>
      </w:r>
      <w:r w:rsidR="008F5257">
        <w:rPr>
          <w:sz w:val="20"/>
        </w:rPr>
        <w:t>en</w:t>
      </w:r>
      <w:r w:rsidR="006D2A02" w:rsidRPr="0034523E">
        <w:rPr>
          <w:sz w:val="20"/>
        </w:rPr>
        <w:t xml:space="preserve"> </w:t>
      </w:r>
      <w:r w:rsidRPr="0034523E">
        <w:rPr>
          <w:sz w:val="20"/>
        </w:rPr>
        <w:t>med 9 procent och</w:t>
      </w:r>
      <w:r w:rsidR="006D2A02" w:rsidRPr="0034523E">
        <w:rPr>
          <w:sz w:val="20"/>
        </w:rPr>
        <w:t xml:space="preserve"> Öresundståg</w:t>
      </w:r>
      <w:r w:rsidR="008F5257">
        <w:rPr>
          <w:sz w:val="20"/>
        </w:rPr>
        <w:t>en</w:t>
      </w:r>
      <w:r w:rsidR="006D2A02" w:rsidRPr="0034523E">
        <w:rPr>
          <w:sz w:val="20"/>
        </w:rPr>
        <w:t xml:space="preserve"> </w:t>
      </w:r>
      <w:r w:rsidRPr="0034523E">
        <w:rPr>
          <w:sz w:val="20"/>
        </w:rPr>
        <w:t>med</w:t>
      </w:r>
      <w:r w:rsidR="006D2A02" w:rsidRPr="0034523E">
        <w:rPr>
          <w:sz w:val="20"/>
        </w:rPr>
        <w:t xml:space="preserve"> drygt 5 procent.</w:t>
      </w:r>
      <w:r w:rsidR="001C729A" w:rsidRPr="0034523E">
        <w:rPr>
          <w:sz w:val="20"/>
        </w:rPr>
        <w:t xml:space="preserve"> Tillförlitligheten till tågen minskade </w:t>
      </w:r>
      <w:r w:rsidR="0034523E">
        <w:rPr>
          <w:sz w:val="20"/>
        </w:rPr>
        <w:t>emellertid</w:t>
      </w:r>
      <w:r w:rsidR="001C729A" w:rsidRPr="0034523E">
        <w:rPr>
          <w:sz w:val="20"/>
        </w:rPr>
        <w:t xml:space="preserve"> 2013.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755"/>
        <w:gridCol w:w="4817"/>
      </w:tblGrid>
      <w:tr w:rsidR="006D2A02" w:rsidRPr="00314C90" w:rsidTr="001C729A">
        <w:tc>
          <w:tcPr>
            <w:tcW w:w="4389" w:type="dxa"/>
            <w:gridSpan w:val="2"/>
          </w:tcPr>
          <w:p w:rsidR="006D2A02" w:rsidRPr="00314C90" w:rsidRDefault="006D2A02" w:rsidP="0009060C">
            <w:pPr>
              <w:rPr>
                <w:sz w:val="20"/>
              </w:rPr>
            </w:pPr>
            <w:r w:rsidRPr="00314C90">
              <w:rPr>
                <w:noProof/>
                <w:sz w:val="20"/>
                <w:lang w:eastAsia="sv-SE"/>
              </w:rPr>
              <w:drawing>
                <wp:inline distT="0" distB="0" distL="0" distR="0">
                  <wp:extent cx="2657475" cy="2095500"/>
                  <wp:effectExtent l="0" t="0" r="0" b="0"/>
                  <wp:docPr id="4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14C90" w:rsidRDefault="00314C90" w:rsidP="00314C90">
            <w:pPr>
              <w:rPr>
                <w:sz w:val="20"/>
              </w:rPr>
            </w:pPr>
            <w:r>
              <w:rPr>
                <w:sz w:val="20"/>
              </w:rPr>
              <w:t xml:space="preserve">Punktligheten försämrades 2013: </w:t>
            </w:r>
            <w:r w:rsidRPr="00314C90">
              <w:rPr>
                <w:sz w:val="20"/>
              </w:rPr>
              <w:t xml:space="preserve">83% </w:t>
            </w:r>
            <w:r>
              <w:rPr>
                <w:sz w:val="20"/>
              </w:rPr>
              <w:t xml:space="preserve">(85) </w:t>
            </w:r>
            <w:r w:rsidRPr="00314C90">
              <w:rPr>
                <w:sz w:val="20"/>
              </w:rPr>
              <w:t>för Pågatåg och 80%</w:t>
            </w:r>
            <w:r>
              <w:rPr>
                <w:sz w:val="20"/>
              </w:rPr>
              <w:t xml:space="preserve"> (82)</w:t>
            </w:r>
            <w:r w:rsidRPr="00314C90">
              <w:rPr>
                <w:sz w:val="20"/>
              </w:rPr>
              <w:t xml:space="preserve"> för Öresundståg. </w:t>
            </w:r>
          </w:p>
          <w:p w:rsidR="00314C90" w:rsidRPr="00314C90" w:rsidRDefault="00314C90" w:rsidP="00314C90">
            <w:pPr>
              <w:rPr>
                <w:sz w:val="20"/>
              </w:rPr>
            </w:pPr>
          </w:p>
        </w:tc>
        <w:tc>
          <w:tcPr>
            <w:tcW w:w="4899" w:type="dxa"/>
          </w:tcPr>
          <w:p w:rsidR="006D2A02" w:rsidRPr="00314C90" w:rsidRDefault="006D2A02" w:rsidP="0009060C">
            <w:pPr>
              <w:rPr>
                <w:sz w:val="20"/>
              </w:rPr>
            </w:pPr>
            <w:r w:rsidRPr="00314C90">
              <w:rPr>
                <w:noProof/>
                <w:sz w:val="20"/>
                <w:lang w:eastAsia="sv-SE"/>
              </w:rPr>
              <w:drawing>
                <wp:inline distT="0" distB="0" distL="0" distR="0">
                  <wp:extent cx="2876550" cy="1971675"/>
                  <wp:effectExtent l="0" t="0" r="0" b="0"/>
                  <wp:docPr id="5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D2A02" w:rsidRPr="00314C90" w:rsidRDefault="006D2A02" w:rsidP="00CC6CB7">
            <w:pPr>
              <w:rPr>
                <w:sz w:val="20"/>
              </w:rPr>
            </w:pPr>
            <w:r w:rsidRPr="00314C90">
              <w:rPr>
                <w:sz w:val="20"/>
              </w:rPr>
              <w:t xml:space="preserve">Brister i infrastrukturen </w:t>
            </w:r>
            <w:r w:rsidR="00CC6CB7">
              <w:rPr>
                <w:sz w:val="20"/>
              </w:rPr>
              <w:t xml:space="preserve">är den enskilt största orsaken till försening och </w:t>
            </w:r>
            <w:r w:rsidRPr="00314C90">
              <w:rPr>
                <w:sz w:val="20"/>
              </w:rPr>
              <w:t xml:space="preserve">svarar för </w:t>
            </w:r>
            <w:r w:rsidR="00B55674" w:rsidRPr="00314C90">
              <w:rPr>
                <w:sz w:val="20"/>
              </w:rPr>
              <w:t xml:space="preserve">ungefär hälften </w:t>
            </w:r>
            <w:r w:rsidR="00CC6CB7">
              <w:rPr>
                <w:sz w:val="20"/>
              </w:rPr>
              <w:t xml:space="preserve">(46%) </w:t>
            </w:r>
            <w:r w:rsidR="00B55674" w:rsidRPr="00314C90">
              <w:rPr>
                <w:sz w:val="20"/>
              </w:rPr>
              <w:t>av</w:t>
            </w:r>
            <w:r w:rsidRPr="00314C90">
              <w:rPr>
                <w:sz w:val="20"/>
              </w:rPr>
              <w:t xml:space="preserve"> </w:t>
            </w:r>
            <w:r w:rsidR="00F156B3" w:rsidRPr="00314C90">
              <w:rPr>
                <w:sz w:val="20"/>
              </w:rPr>
              <w:t>all</w:t>
            </w:r>
            <w:r w:rsidR="00B55674" w:rsidRPr="00314C90">
              <w:rPr>
                <w:sz w:val="20"/>
              </w:rPr>
              <w:t xml:space="preserve"> </w:t>
            </w:r>
            <w:r w:rsidR="00F156B3" w:rsidRPr="00314C90">
              <w:rPr>
                <w:sz w:val="20"/>
              </w:rPr>
              <w:t>försening för regionaltågen</w:t>
            </w:r>
            <w:r w:rsidR="001A0132" w:rsidRPr="00314C90">
              <w:rPr>
                <w:sz w:val="20"/>
              </w:rPr>
              <w:t xml:space="preserve">, mätt som andel </w:t>
            </w:r>
            <w:r w:rsidR="00CC6CB7">
              <w:rPr>
                <w:sz w:val="20"/>
              </w:rPr>
              <w:t>av tiden</w:t>
            </w:r>
            <w:r w:rsidR="00CC6CB7">
              <w:rPr>
                <w:rStyle w:val="Fotnotsreferens"/>
                <w:sz w:val="20"/>
              </w:rPr>
              <w:footnoteReference w:id="1"/>
            </w:r>
            <w:r w:rsidR="001A0132" w:rsidRPr="00314C90">
              <w:rPr>
                <w:sz w:val="20"/>
              </w:rPr>
              <w:t>.</w:t>
            </w:r>
          </w:p>
        </w:tc>
      </w:tr>
      <w:tr w:rsidR="00522F55" w:rsidRPr="00314C90" w:rsidTr="001C729A">
        <w:tc>
          <w:tcPr>
            <w:tcW w:w="3510" w:type="dxa"/>
          </w:tcPr>
          <w:p w:rsidR="00314C90" w:rsidRPr="00314C90" w:rsidRDefault="00314C90" w:rsidP="0009060C">
            <w:pPr>
              <w:rPr>
                <w:noProof/>
                <w:sz w:val="20"/>
                <w:lang w:eastAsia="sv-SE"/>
              </w:rPr>
            </w:pPr>
          </w:p>
          <w:p w:rsidR="00314C90" w:rsidRDefault="001A0132" w:rsidP="00314C90">
            <w:pPr>
              <w:rPr>
                <w:noProof/>
                <w:sz w:val="20"/>
                <w:lang w:eastAsia="sv-SE"/>
              </w:rPr>
            </w:pPr>
            <w:r w:rsidRPr="00314C90">
              <w:rPr>
                <w:noProof/>
                <w:sz w:val="20"/>
                <w:lang w:eastAsia="sv-SE"/>
              </w:rPr>
              <w:t xml:space="preserve">Det totala antalet förseningstimmar för både Pågatåg och Öresundståg var </w:t>
            </w:r>
            <w:r w:rsidR="008F5257">
              <w:rPr>
                <w:noProof/>
                <w:sz w:val="20"/>
                <w:lang w:eastAsia="sv-SE"/>
              </w:rPr>
              <w:t xml:space="preserve">cirka </w:t>
            </w:r>
            <w:r w:rsidR="00CC6CB7">
              <w:rPr>
                <w:noProof/>
                <w:sz w:val="20"/>
                <w:lang w:eastAsia="sv-SE"/>
              </w:rPr>
              <w:t>5900</w:t>
            </w:r>
            <w:r w:rsidRPr="00314C90">
              <w:rPr>
                <w:noProof/>
                <w:sz w:val="20"/>
                <w:lang w:eastAsia="sv-SE"/>
              </w:rPr>
              <w:t>. Det var brister i infrastrukturen som orsakad</w:t>
            </w:r>
            <w:r w:rsidR="00314C90">
              <w:rPr>
                <w:noProof/>
                <w:sz w:val="20"/>
                <w:lang w:eastAsia="sv-SE"/>
              </w:rPr>
              <w:t>e ungefär hälften av förseni</w:t>
            </w:r>
            <w:r w:rsidR="008F5257">
              <w:rPr>
                <w:noProof/>
                <w:sz w:val="20"/>
                <w:lang w:eastAsia="sv-SE"/>
              </w:rPr>
              <w:t>ng</w:t>
            </w:r>
            <w:r w:rsidR="00314C90">
              <w:rPr>
                <w:noProof/>
                <w:sz w:val="20"/>
                <w:lang w:eastAsia="sv-SE"/>
              </w:rPr>
              <w:t>en</w:t>
            </w:r>
            <w:r w:rsidRPr="00314C90">
              <w:rPr>
                <w:noProof/>
                <w:sz w:val="20"/>
                <w:lang w:eastAsia="sv-SE"/>
              </w:rPr>
              <w:t xml:space="preserve">. </w:t>
            </w:r>
          </w:p>
          <w:p w:rsidR="001A0132" w:rsidRPr="00314C90" w:rsidRDefault="001A0132" w:rsidP="00CC6CB7">
            <w:pPr>
              <w:rPr>
                <w:noProof/>
                <w:sz w:val="20"/>
                <w:lang w:eastAsia="sv-SE"/>
              </w:rPr>
            </w:pPr>
            <w:r w:rsidRPr="00314C90">
              <w:rPr>
                <w:noProof/>
                <w:sz w:val="20"/>
                <w:lang w:eastAsia="sv-SE"/>
              </w:rPr>
              <w:t xml:space="preserve">Med hänsyn till antalet passagerare i snitt på de olika tågtyperna </w:t>
            </w:r>
            <w:r w:rsidR="00314C90">
              <w:rPr>
                <w:noProof/>
                <w:sz w:val="20"/>
                <w:lang w:eastAsia="sv-SE"/>
              </w:rPr>
              <w:t xml:space="preserve">gick </w:t>
            </w:r>
            <w:r w:rsidR="00314C90" w:rsidRPr="00314C90">
              <w:rPr>
                <w:noProof/>
                <w:sz w:val="20"/>
                <w:lang w:eastAsia="sv-SE"/>
              </w:rPr>
              <w:t xml:space="preserve">drygt </w:t>
            </w:r>
            <w:r w:rsidR="00CC6CB7" w:rsidRPr="00FC483F">
              <w:rPr>
                <w:noProof/>
                <w:sz w:val="20"/>
                <w:lang w:eastAsia="sv-SE"/>
              </w:rPr>
              <w:t>342</w:t>
            </w:r>
            <w:r w:rsidR="00314C90" w:rsidRPr="00FC483F">
              <w:rPr>
                <w:noProof/>
                <w:sz w:val="20"/>
                <w:lang w:eastAsia="sv-SE"/>
              </w:rPr>
              <w:t xml:space="preserve"> 000</w:t>
            </w:r>
            <w:r w:rsidR="00090A6A" w:rsidRPr="00FC483F">
              <w:rPr>
                <w:rStyle w:val="Fotnotsreferens"/>
                <w:noProof/>
                <w:sz w:val="20"/>
                <w:lang w:eastAsia="sv-SE"/>
              </w:rPr>
              <w:footnoteReference w:id="2"/>
            </w:r>
            <w:r w:rsidR="00314C90" w:rsidRPr="00314C90">
              <w:rPr>
                <w:noProof/>
                <w:sz w:val="20"/>
                <w:lang w:eastAsia="sv-SE"/>
              </w:rPr>
              <w:t xml:space="preserve"> timmar </w:t>
            </w:r>
            <w:r w:rsidR="00314C90">
              <w:rPr>
                <w:noProof/>
                <w:sz w:val="20"/>
                <w:lang w:eastAsia="sv-SE"/>
              </w:rPr>
              <w:t>förlorade i väntan för</w:t>
            </w:r>
            <w:r w:rsidRPr="00314C90">
              <w:rPr>
                <w:noProof/>
                <w:sz w:val="20"/>
                <w:lang w:eastAsia="sv-SE"/>
              </w:rPr>
              <w:t xml:space="preserve"> </w:t>
            </w:r>
            <w:r w:rsidR="00314C90" w:rsidRPr="00314C90">
              <w:rPr>
                <w:noProof/>
                <w:sz w:val="20"/>
                <w:lang w:eastAsia="sv-SE"/>
              </w:rPr>
              <w:t xml:space="preserve">Skånes invånare. Värdet av den tid som </w:t>
            </w:r>
            <w:r w:rsidR="00CC6CB7">
              <w:rPr>
                <w:noProof/>
                <w:sz w:val="20"/>
                <w:lang w:eastAsia="sv-SE"/>
              </w:rPr>
              <w:t>förloras</w:t>
            </w:r>
            <w:r w:rsidR="00314C90" w:rsidRPr="00314C90">
              <w:rPr>
                <w:noProof/>
                <w:sz w:val="20"/>
                <w:lang w:eastAsia="sv-SE"/>
              </w:rPr>
              <w:t xml:space="preserve"> </w:t>
            </w:r>
            <w:r w:rsidR="00314C90">
              <w:rPr>
                <w:noProof/>
                <w:sz w:val="20"/>
                <w:lang w:eastAsia="sv-SE"/>
              </w:rPr>
              <w:t>på regionaltåg grund av brister i Skånes infrastruktur</w:t>
            </w:r>
            <w:r w:rsidR="00314C90" w:rsidRPr="00314C90">
              <w:rPr>
                <w:noProof/>
                <w:sz w:val="20"/>
                <w:lang w:eastAsia="sv-SE"/>
              </w:rPr>
              <w:t xml:space="preserve"> är drygt </w:t>
            </w:r>
            <w:r w:rsidR="00CC6CB7">
              <w:rPr>
                <w:noProof/>
                <w:sz w:val="20"/>
                <w:lang w:eastAsia="sv-SE"/>
              </w:rPr>
              <w:t>55</w:t>
            </w:r>
            <w:r w:rsidR="00314C90" w:rsidRPr="00314C90">
              <w:rPr>
                <w:noProof/>
                <w:sz w:val="20"/>
                <w:lang w:eastAsia="sv-SE"/>
              </w:rPr>
              <w:t xml:space="preserve"> miljoner kronor</w:t>
            </w:r>
            <w:r w:rsidR="0034523E">
              <w:rPr>
                <w:rStyle w:val="Fotnotsreferens"/>
                <w:noProof/>
                <w:sz w:val="20"/>
                <w:lang w:eastAsia="sv-SE"/>
              </w:rPr>
              <w:footnoteReference w:id="3"/>
            </w:r>
            <w:r w:rsidR="00314C90" w:rsidRPr="00314C90">
              <w:rPr>
                <w:noProof/>
                <w:sz w:val="20"/>
                <w:lang w:eastAsia="sv-SE"/>
              </w:rPr>
              <w:t xml:space="preserve">. </w:t>
            </w:r>
            <w:r w:rsidR="00314C90">
              <w:rPr>
                <w:noProof/>
                <w:sz w:val="20"/>
                <w:lang w:eastAsia="sv-SE"/>
              </w:rPr>
              <w:t>Då är inte</w:t>
            </w:r>
            <w:r w:rsidR="00314C90" w:rsidRPr="00314C90">
              <w:rPr>
                <w:noProof/>
                <w:sz w:val="20"/>
                <w:lang w:eastAsia="sv-SE"/>
              </w:rPr>
              <w:t xml:space="preserve"> Skånetrafiken</w:t>
            </w:r>
            <w:r w:rsidR="00314C90">
              <w:rPr>
                <w:noProof/>
                <w:sz w:val="20"/>
                <w:lang w:eastAsia="sv-SE"/>
              </w:rPr>
              <w:t>s</w:t>
            </w:r>
            <w:r w:rsidR="00314C90" w:rsidRPr="00314C90">
              <w:rPr>
                <w:noProof/>
                <w:sz w:val="20"/>
                <w:lang w:eastAsia="sv-SE"/>
              </w:rPr>
              <w:t xml:space="preserve"> </w:t>
            </w:r>
            <w:r w:rsidR="00CC6CB7">
              <w:rPr>
                <w:noProof/>
                <w:sz w:val="20"/>
                <w:lang w:eastAsia="sv-SE"/>
              </w:rPr>
              <w:t>extra</w:t>
            </w:r>
            <w:r w:rsidR="00314C90" w:rsidRPr="00314C90">
              <w:rPr>
                <w:noProof/>
                <w:sz w:val="20"/>
                <w:lang w:eastAsia="sv-SE"/>
              </w:rPr>
              <w:t>kostnader</w:t>
            </w:r>
            <w:r w:rsidR="00314C90">
              <w:rPr>
                <w:noProof/>
                <w:sz w:val="20"/>
                <w:lang w:eastAsia="sv-SE"/>
              </w:rPr>
              <w:t xml:space="preserve"> inräknad</w:t>
            </w:r>
            <w:r w:rsidR="008F5257">
              <w:rPr>
                <w:noProof/>
                <w:sz w:val="20"/>
                <w:lang w:eastAsia="sv-SE"/>
              </w:rPr>
              <w:t>e</w:t>
            </w:r>
            <w:r w:rsidR="00314C90">
              <w:rPr>
                <w:noProof/>
                <w:sz w:val="20"/>
                <w:lang w:eastAsia="sv-SE"/>
              </w:rPr>
              <w:t xml:space="preserve">, ej heller </w:t>
            </w:r>
            <w:r w:rsidR="00314C90" w:rsidRPr="00314C90">
              <w:rPr>
                <w:noProof/>
                <w:sz w:val="20"/>
                <w:lang w:eastAsia="sv-SE"/>
              </w:rPr>
              <w:t>kostnad för försening av fjärrtåg och godståg</w:t>
            </w:r>
            <w:r w:rsidR="00314C90">
              <w:rPr>
                <w:noProof/>
                <w:sz w:val="20"/>
                <w:lang w:eastAsia="sv-SE"/>
              </w:rPr>
              <w:t xml:space="preserve"> i Skåne.</w:t>
            </w:r>
          </w:p>
        </w:tc>
        <w:tc>
          <w:tcPr>
            <w:tcW w:w="5778" w:type="dxa"/>
            <w:gridSpan w:val="2"/>
          </w:tcPr>
          <w:p w:rsidR="001A0132" w:rsidRPr="00314C90" w:rsidRDefault="001A0132" w:rsidP="0009060C">
            <w:pPr>
              <w:rPr>
                <w:noProof/>
                <w:sz w:val="20"/>
                <w:lang w:eastAsia="sv-SE"/>
              </w:rPr>
            </w:pPr>
            <w:r w:rsidRPr="00314C90">
              <w:rPr>
                <w:noProof/>
                <w:sz w:val="20"/>
                <w:lang w:eastAsia="sv-SE"/>
              </w:rPr>
              <w:drawing>
                <wp:inline distT="0" distB="0" distL="0" distR="0">
                  <wp:extent cx="3419475" cy="2257425"/>
                  <wp:effectExtent l="1905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55674" w:rsidRDefault="00B55674" w:rsidP="006D2A02"/>
    <w:sectPr w:rsidR="00B55674" w:rsidSect="0034523E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B9" w:rsidRDefault="00FC06B9" w:rsidP="00090A6A">
      <w:pPr>
        <w:spacing w:after="0" w:line="240" w:lineRule="auto"/>
      </w:pPr>
      <w:r>
        <w:separator/>
      </w:r>
    </w:p>
  </w:endnote>
  <w:endnote w:type="continuationSeparator" w:id="0">
    <w:p w:rsidR="00FC06B9" w:rsidRDefault="00FC06B9" w:rsidP="0009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B9" w:rsidRDefault="00FC06B9" w:rsidP="00090A6A">
      <w:pPr>
        <w:spacing w:after="0" w:line="240" w:lineRule="auto"/>
      </w:pPr>
      <w:r>
        <w:separator/>
      </w:r>
    </w:p>
  </w:footnote>
  <w:footnote w:type="continuationSeparator" w:id="0">
    <w:p w:rsidR="00FC06B9" w:rsidRDefault="00FC06B9" w:rsidP="00090A6A">
      <w:pPr>
        <w:spacing w:after="0" w:line="240" w:lineRule="auto"/>
      </w:pPr>
      <w:r>
        <w:continuationSeparator/>
      </w:r>
    </w:p>
  </w:footnote>
  <w:footnote w:id="1">
    <w:p w:rsidR="00CC6CB7" w:rsidRPr="00554674" w:rsidRDefault="00CC6CB7">
      <w:pPr>
        <w:pStyle w:val="Fotnotstext"/>
        <w:rPr>
          <w:sz w:val="14"/>
        </w:rPr>
      </w:pPr>
      <w:r w:rsidRPr="00CC6CB7">
        <w:rPr>
          <w:rStyle w:val="Fotnotsreferens"/>
          <w:sz w:val="16"/>
        </w:rPr>
        <w:footnoteRef/>
      </w:r>
      <w:r w:rsidRPr="00CC6CB7">
        <w:rPr>
          <w:sz w:val="16"/>
        </w:rPr>
        <w:t xml:space="preserve"> </w:t>
      </w:r>
      <w:r w:rsidRPr="00554674">
        <w:rPr>
          <w:sz w:val="14"/>
        </w:rPr>
        <w:t>Statistiken avser perioden februari 2013-januari 2014.</w:t>
      </w:r>
    </w:p>
  </w:footnote>
  <w:footnote w:id="2">
    <w:p w:rsidR="00090A6A" w:rsidRPr="00554674" w:rsidRDefault="00090A6A">
      <w:pPr>
        <w:pStyle w:val="Fotnotstext"/>
        <w:rPr>
          <w:sz w:val="14"/>
        </w:rPr>
      </w:pPr>
      <w:r w:rsidRPr="00554674">
        <w:rPr>
          <w:rStyle w:val="Fotnotsreferens"/>
          <w:sz w:val="14"/>
        </w:rPr>
        <w:footnoteRef/>
      </w:r>
      <w:r w:rsidRPr="00554674">
        <w:rPr>
          <w:sz w:val="14"/>
        </w:rPr>
        <w:t xml:space="preserve"> </w:t>
      </w:r>
      <w:r w:rsidR="0034523E" w:rsidRPr="00554674">
        <w:rPr>
          <w:sz w:val="14"/>
        </w:rPr>
        <w:t>Förseningsvolym fördelad på orsaker; infrastruktur samt dessas andel av följdorsaker, samt med hänsyn till det genomsnittliga antalet passagerare på tågen. Källa Skånetrafiken och Trafikverket.</w:t>
      </w:r>
    </w:p>
  </w:footnote>
  <w:footnote w:id="3">
    <w:p w:rsidR="00CC6CB7" w:rsidRPr="00554674" w:rsidRDefault="0034523E" w:rsidP="0034523E">
      <w:pPr>
        <w:pStyle w:val="Fotnotstext"/>
        <w:rPr>
          <w:sz w:val="14"/>
        </w:rPr>
      </w:pPr>
      <w:r w:rsidRPr="00554674">
        <w:rPr>
          <w:rStyle w:val="Fotnotsreferens"/>
          <w:sz w:val="14"/>
        </w:rPr>
        <w:footnoteRef/>
      </w:r>
      <w:r w:rsidRPr="00554674">
        <w:rPr>
          <w:sz w:val="14"/>
        </w:rPr>
        <w:t xml:space="preserve"> Beräkningen bygger på genomsnittligt pendlingstidsvärde enligt Jan-Erik Swärdhs avhandling (2009: 155 kr</w:t>
      </w:r>
      <w:r w:rsidR="00491ABE" w:rsidRPr="00554674">
        <w:rPr>
          <w:sz w:val="14"/>
        </w:rPr>
        <w:t>/h</w:t>
      </w:r>
      <w:r w:rsidRPr="00554674">
        <w:rPr>
          <w:sz w:val="14"/>
        </w:rPr>
        <w:t>)</w:t>
      </w:r>
      <w:r w:rsidR="00DC6966" w:rsidRPr="00554674">
        <w:rPr>
          <w:sz w:val="14"/>
        </w:rPr>
        <w:t>, uppräknat med KPI</w:t>
      </w:r>
      <w:r w:rsidRPr="00554674">
        <w:rPr>
          <w:sz w:val="14"/>
        </w:rPr>
        <w:t>.</w:t>
      </w:r>
      <w:r w:rsidR="00CC6CB7" w:rsidRPr="00554674">
        <w:rPr>
          <w:sz w:val="18"/>
        </w:rPr>
        <w:t xml:space="preserve"> </w:t>
      </w:r>
      <w:r w:rsidR="00CC6CB7" w:rsidRPr="00554674">
        <w:rPr>
          <w:sz w:val="14"/>
        </w:rPr>
        <w:t>http://trafa.se/PageDocuments/Arbetspendling_i_storstadsregioner_-_en_nulaegesanalys.pdf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204"/>
      <w:gridCol w:w="3685"/>
    </w:tblGrid>
    <w:tr w:rsidR="00CC6CB7" w:rsidTr="00554674">
      <w:tc>
        <w:tcPr>
          <w:tcW w:w="6204" w:type="dxa"/>
        </w:tcPr>
        <w:p w:rsidR="00554674" w:rsidRPr="00554674" w:rsidRDefault="00554674" w:rsidP="00554674">
          <w:pPr>
            <w:rPr>
              <w:rFonts w:ascii="Arial" w:hAnsi="Arial" w:cs="Arial"/>
              <w:sz w:val="32"/>
            </w:rPr>
          </w:pPr>
        </w:p>
        <w:p w:rsidR="00554674" w:rsidRPr="00554674" w:rsidRDefault="00554674" w:rsidP="00554674">
          <w:pPr>
            <w:rPr>
              <w:rFonts w:cs="Arial"/>
              <w:b/>
              <w:sz w:val="40"/>
            </w:rPr>
          </w:pPr>
          <w:r w:rsidRPr="00554674">
            <w:rPr>
              <w:rFonts w:cs="Arial"/>
              <w:b/>
              <w:sz w:val="40"/>
            </w:rPr>
            <w:t>Fakta om kollektivtrafik och arbetspendling i Skåne</w:t>
          </w:r>
        </w:p>
        <w:p w:rsidR="00CC6CB7" w:rsidRPr="00554674" w:rsidRDefault="00CC6CB7">
          <w:pPr>
            <w:pStyle w:val="Sidhuvud"/>
          </w:pPr>
        </w:p>
      </w:tc>
      <w:tc>
        <w:tcPr>
          <w:tcW w:w="3685" w:type="dxa"/>
        </w:tcPr>
        <w:p w:rsidR="00CC6CB7" w:rsidRDefault="00554674" w:rsidP="00554674">
          <w:pPr>
            <w:pStyle w:val="Sidhuvud"/>
            <w:jc w:val="right"/>
          </w:pPr>
          <w:r w:rsidRPr="00554674">
            <w:drawing>
              <wp:inline distT="0" distB="0" distL="0" distR="0">
                <wp:extent cx="1354523" cy="1228725"/>
                <wp:effectExtent l="0" t="0" r="0" b="0"/>
                <wp:docPr id="9" name="Bild 5" descr="SP_PPT_BG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3" descr="SP_PPT_BG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EC9C"/>
                            </a:clrFrom>
                            <a:clrTo>
                              <a:srgbClr val="FDEC9C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</a:blip>
                        <a:srcRect l="27917" t="16806" r="23854" b="248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523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6CB7" w:rsidRDefault="00CC6CB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30"/>
    <w:rsid w:val="00090A6A"/>
    <w:rsid w:val="001A0132"/>
    <w:rsid w:val="001C729A"/>
    <w:rsid w:val="00201A0B"/>
    <w:rsid w:val="002B4DC5"/>
    <w:rsid w:val="00314C90"/>
    <w:rsid w:val="003233E4"/>
    <w:rsid w:val="0034523E"/>
    <w:rsid w:val="0048107C"/>
    <w:rsid w:val="0048212D"/>
    <w:rsid w:val="00491ABE"/>
    <w:rsid w:val="00522F55"/>
    <w:rsid w:val="00554674"/>
    <w:rsid w:val="005D4943"/>
    <w:rsid w:val="006D2A02"/>
    <w:rsid w:val="006E0804"/>
    <w:rsid w:val="00760334"/>
    <w:rsid w:val="008F5257"/>
    <w:rsid w:val="00936012"/>
    <w:rsid w:val="00943E9A"/>
    <w:rsid w:val="009C440C"/>
    <w:rsid w:val="00B55674"/>
    <w:rsid w:val="00B816D2"/>
    <w:rsid w:val="00BC0F12"/>
    <w:rsid w:val="00BD7CE4"/>
    <w:rsid w:val="00CC6CB7"/>
    <w:rsid w:val="00CD0191"/>
    <w:rsid w:val="00D80A34"/>
    <w:rsid w:val="00DC6966"/>
    <w:rsid w:val="00E06230"/>
    <w:rsid w:val="00ED1AFA"/>
    <w:rsid w:val="00F156B3"/>
    <w:rsid w:val="00FC06B9"/>
    <w:rsid w:val="00FC483F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30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4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E9A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90A6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0A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6A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CC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CB7"/>
  </w:style>
  <w:style w:type="paragraph" w:styleId="Sidfot">
    <w:name w:val="footer"/>
    <w:basedOn w:val="Normal"/>
    <w:link w:val="SidfotChar"/>
    <w:uiPriority w:val="99"/>
    <w:semiHidden/>
    <w:unhideWhenUsed/>
    <w:rsid w:val="00CC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C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kalkylblad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kalkylblad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kalkylblad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7"/>
  <c:chart>
    <c:title>
      <c:tx>
        <c:rich>
          <a:bodyPr/>
          <a:lstStyle/>
          <a:p>
            <a:pPr>
              <a:defRPr sz="1200"/>
            </a:pPr>
            <a:r>
              <a:rPr lang="sv-SE" sz="1200"/>
              <a:t>Punktlighet 2013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Blad1!$B$1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Blad1!$A$2:$A$3</c:f>
              <c:strCache>
                <c:ptCount val="2"/>
                <c:pt idx="0">
                  <c:v>Pågatåg</c:v>
                </c:pt>
                <c:pt idx="1">
                  <c:v>Öresundståg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85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Blad1!$A$2:$A$3</c:f>
              <c:strCache>
                <c:ptCount val="2"/>
                <c:pt idx="0">
                  <c:v>Pågatåg</c:v>
                </c:pt>
                <c:pt idx="1">
                  <c:v>Öresundståg</c:v>
                </c:pt>
              </c:strCache>
            </c:strRef>
          </c:cat>
          <c:val>
            <c:numRef>
              <c:f>Blad1!$C$2:$C$3</c:f>
              <c:numCache>
                <c:formatCode>General</c:formatCode>
                <c:ptCount val="2"/>
                <c:pt idx="0">
                  <c:v>83</c:v>
                </c:pt>
                <c:pt idx="1">
                  <c:v>80</c:v>
                </c:pt>
              </c:numCache>
            </c:numRef>
          </c:val>
        </c:ser>
        <c:axId val="121174656"/>
        <c:axId val="142763520"/>
      </c:barChart>
      <c:catAx>
        <c:axId val="121174656"/>
        <c:scaling>
          <c:orientation val="minMax"/>
        </c:scaling>
        <c:axPos val="b"/>
        <c:numFmt formatCode="General" sourceLinked="1"/>
        <c:majorTickMark val="none"/>
        <c:tickLblPos val="nextTo"/>
        <c:crossAx val="142763520"/>
        <c:crosses val="autoZero"/>
        <c:auto val="1"/>
        <c:lblAlgn val="ctr"/>
        <c:lblOffset val="100"/>
      </c:catAx>
      <c:valAx>
        <c:axId val="142763520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1211746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7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Försening</a:t>
            </a:r>
            <a:r>
              <a:rPr lang="en-US" sz="1200" baseline="0"/>
              <a:t> orsakad av infrastruktur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29235924979576244"/>
          <c:y val="0.29104238781746516"/>
          <c:w val="0.44618692530983328"/>
          <c:h val="0.65095870262594024"/>
        </c:manualLayout>
      </c:layout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Orsak inställda tåg</c:v>
                </c:pt>
              </c:strCache>
            </c:strRef>
          </c:tx>
          <c:dLbls>
            <c:dLbl>
              <c:idx val="0"/>
              <c:layout>
                <c:manualLayout>
                  <c:x val="-0.17358676191966069"/>
                  <c:y val="1.0728948736480403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bg1"/>
                        </a:solidFill>
                      </a:defRPr>
                    </a:pPr>
                    <a:r>
                      <a:rPr lang="en-US" sz="1100"/>
                      <a:t>46%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sv-SE"/>
              </a:p>
            </c:txPr>
            <c:showCatName val="1"/>
            <c:showPercent val="1"/>
            <c:showLeaderLines val="1"/>
          </c:dLbls>
          <c:cat>
            <c:strRef>
              <c:f>Blad1!$A$2:$A$3</c:f>
              <c:strCache>
                <c:ptCount val="2"/>
                <c:pt idx="0">
                  <c:v>Infra</c:v>
                </c:pt>
                <c:pt idx="1">
                  <c:v>Övriga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Infrastrukturrelaterad försening </a:t>
            </a:r>
          </a:p>
          <a:p>
            <a:pPr>
              <a:defRPr sz="1200"/>
            </a:pPr>
            <a:r>
              <a:rPr lang="en-US" sz="1200"/>
              <a:t>- antal persontimmar</a:t>
            </a:r>
          </a:p>
        </c:rich>
      </c:tx>
      <c:layout>
        <c:manualLayout>
          <c:xMode val="edge"/>
          <c:yMode val="edge"/>
          <c:x val="0.21851892468873146"/>
          <c:y val="3.7105470119484195E-3"/>
        </c:manualLayout>
      </c:layout>
    </c:title>
    <c:plotArea>
      <c:layout>
        <c:manualLayout>
          <c:layoutTarget val="inner"/>
          <c:xMode val="edge"/>
          <c:yMode val="edge"/>
          <c:x val="9.5198673082531354E-2"/>
          <c:y val="0.16697444069491321"/>
          <c:w val="0.84176255126883515"/>
          <c:h val="0.7336142357205353"/>
        </c:manualLayout>
      </c:layout>
      <c:barChart>
        <c:barDir val="col"/>
        <c:grouping val="stacked"/>
        <c:ser>
          <c:idx val="0"/>
          <c:order val="0"/>
          <c:tx>
            <c:strRef>
              <c:f>Blad1!$B$1</c:f>
              <c:strCache>
                <c:ptCount val="1"/>
                <c:pt idx="0">
                  <c:v>Persontimmar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Blad1!$A$2:$A$13</c:f>
              <c:strCache>
                <c:ptCount val="12"/>
                <c:pt idx="0">
                  <c:v>feb</c:v>
                </c:pt>
                <c:pt idx="1">
                  <c:v>mar</c:v>
                </c:pt>
                <c:pt idx="2">
                  <c:v>apr</c:v>
                </c:pt>
                <c:pt idx="3">
                  <c:v>maj</c:v>
                </c:pt>
                <c:pt idx="4">
                  <c:v>jun</c:v>
                </c:pt>
                <c:pt idx="5">
                  <c:v>jul</c:v>
                </c:pt>
                <c:pt idx="6">
                  <c:v>aug</c:v>
                </c:pt>
                <c:pt idx="7">
                  <c:v>sep</c:v>
                </c:pt>
                <c:pt idx="8">
                  <c:v>okt</c:v>
                </c:pt>
                <c:pt idx="9">
                  <c:v>nov</c:v>
                </c:pt>
                <c:pt idx="10">
                  <c:v>dec</c:v>
                </c:pt>
                <c:pt idx="11">
                  <c:v>jan</c:v>
                </c:pt>
              </c:strCache>
            </c:strRef>
          </c:cat>
          <c:val>
            <c:numRef>
              <c:f>Blad1!$B$2:$B$13</c:f>
              <c:numCache>
                <c:formatCode>0</c:formatCode>
                <c:ptCount val="12"/>
                <c:pt idx="0">
                  <c:v>19015.741168478256</c:v>
                </c:pt>
                <c:pt idx="1">
                  <c:v>15619.099163001843</c:v>
                </c:pt>
                <c:pt idx="2">
                  <c:v>34685.009780907654</c:v>
                </c:pt>
                <c:pt idx="3">
                  <c:v>43235.38217887807</c:v>
                </c:pt>
                <c:pt idx="4">
                  <c:v>27845.371036730256</c:v>
                </c:pt>
                <c:pt idx="5">
                  <c:v>38505.899982344636</c:v>
                </c:pt>
                <c:pt idx="6">
                  <c:v>35990.475589225593</c:v>
                </c:pt>
                <c:pt idx="7">
                  <c:v>16197.644859813088</c:v>
                </c:pt>
                <c:pt idx="8">
                  <c:v>37211.942197523982</c:v>
                </c:pt>
                <c:pt idx="9">
                  <c:v>25411.792046823895</c:v>
                </c:pt>
                <c:pt idx="10">
                  <c:v>21400.100806451614</c:v>
                </c:pt>
                <c:pt idx="11">
                  <c:v>27217.807259933059</c:v>
                </c:pt>
              </c:numCache>
            </c:numRef>
          </c:val>
        </c:ser>
        <c:overlap val="100"/>
        <c:axId val="78197120"/>
        <c:axId val="78198656"/>
      </c:barChart>
      <c:catAx>
        <c:axId val="78197120"/>
        <c:scaling>
          <c:orientation val="minMax"/>
        </c:scaling>
        <c:axPos val="b"/>
        <c:numFmt formatCode="dd/mmm" sourceLinked="1"/>
        <c:tickLblPos val="nextTo"/>
        <c:crossAx val="78198656"/>
        <c:crosses val="autoZero"/>
        <c:auto val="1"/>
        <c:lblAlgn val="ctr"/>
        <c:lblOffset val="100"/>
      </c:catAx>
      <c:valAx>
        <c:axId val="78198656"/>
        <c:scaling>
          <c:orientation val="minMax"/>
        </c:scaling>
        <c:axPos val="l"/>
        <c:majorGridlines/>
        <c:numFmt formatCode="0" sourceLinked="1"/>
        <c:tickLblPos val="nextTo"/>
        <c:crossAx val="781971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FF61-5E6E-43D7-ABB6-82561173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Pålsson</dc:creator>
  <cp:lastModifiedBy>Thomas Pålsson</cp:lastModifiedBy>
  <cp:revision>17</cp:revision>
  <cp:lastPrinted>2014-02-21T14:18:00Z</cp:lastPrinted>
  <dcterms:created xsi:type="dcterms:W3CDTF">2014-02-16T21:43:00Z</dcterms:created>
  <dcterms:modified xsi:type="dcterms:W3CDTF">2014-02-24T15:10:00Z</dcterms:modified>
</cp:coreProperties>
</file>