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466C30"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466C30"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257BFA" w:rsidRDefault="00257BFA" w:rsidP="00257BFA">
      <w:pPr>
        <w:overflowPunct w:val="0"/>
        <w:autoSpaceDE w:val="0"/>
        <w:autoSpaceDN w:val="0"/>
        <w:adjustRightInd w:val="0"/>
        <w:textAlignment w:val="baseline"/>
        <w:rPr>
          <w:rFonts w:ascii="Arial" w:hAnsi="Arial" w:cs="Arial"/>
          <w:b/>
          <w:caps/>
          <w:sz w:val="28"/>
          <w:szCs w:val="28"/>
        </w:rPr>
      </w:pPr>
      <w:r w:rsidRPr="008F301F">
        <w:rPr>
          <w:rFonts w:ascii="Arial" w:hAnsi="Arial" w:cs="Arial"/>
          <w:b/>
          <w:caps/>
          <w:sz w:val="28"/>
          <w:szCs w:val="28"/>
        </w:rPr>
        <w:t>FORD RANGER Raptor: TECHNICKÉ ÚDAJE</w:t>
      </w:r>
    </w:p>
    <w:p w:rsidR="00257BFA" w:rsidRPr="008F301F" w:rsidRDefault="00257BFA" w:rsidP="00257BFA">
      <w:pPr>
        <w:overflowPunct w:val="0"/>
        <w:autoSpaceDE w:val="0"/>
        <w:autoSpaceDN w:val="0"/>
        <w:adjustRightInd w:val="0"/>
        <w:textAlignment w:val="baseline"/>
        <w:rPr>
          <w:rFonts w:ascii="Arial" w:hAnsi="Arial" w:cs="Arial"/>
          <w:b/>
          <w:caps/>
          <w:sz w:val="28"/>
          <w:szCs w:val="28"/>
        </w:rPr>
      </w:pPr>
    </w:p>
    <w:p w:rsidR="004A5828" w:rsidRPr="00B37CF9" w:rsidRDefault="004A5828" w:rsidP="00311D56">
      <w:pPr>
        <w:pStyle w:val="BodyText2"/>
        <w:spacing w:line="276" w:lineRule="auto"/>
        <w:jc w:val="both"/>
        <w:rPr>
          <w:rFonts w:ascii="Arial" w:hAnsi="Arial" w:cs="Arial"/>
          <w:b/>
          <w:bCs/>
          <w:sz w:val="22"/>
          <w:szCs w:val="22"/>
          <w:lang w:val="cs-CZ"/>
        </w:rPr>
      </w:pPr>
    </w:p>
    <w:p w:rsidR="00257BFA" w:rsidRPr="008F301F" w:rsidRDefault="00257BFA" w:rsidP="00257BFA">
      <w:pPr>
        <w:rPr>
          <w:rFonts w:ascii="Arial" w:hAnsi="Arial" w:cs="Arial"/>
          <w:b/>
          <w:bCs/>
          <w:szCs w:val="20"/>
          <w:u w:val="single"/>
        </w:rPr>
      </w:pPr>
      <w:r w:rsidRPr="008F301F">
        <w:rPr>
          <w:rFonts w:ascii="Arial" w:hAnsi="Arial" w:cs="Arial"/>
          <w:b/>
          <w:bCs/>
          <w:szCs w:val="20"/>
          <w:u w:val="single"/>
        </w:rPr>
        <w:t>PODVOZEK</w:t>
      </w:r>
    </w:p>
    <w:p w:rsidR="00257BFA" w:rsidRPr="008F301F" w:rsidRDefault="00257BFA" w:rsidP="00257BFA">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948"/>
        <w:gridCol w:w="3352"/>
      </w:tblGrid>
      <w:tr w:rsidR="00257BFA" w:rsidRPr="008F301F" w:rsidTr="00714E46">
        <w:trPr>
          <w:trHeight w:val="74"/>
        </w:trPr>
        <w:tc>
          <w:tcPr>
            <w:tcW w:w="2730" w:type="dxa"/>
            <w:vMerge w:val="restart"/>
            <w:shd w:val="clear" w:color="auto" w:fill="auto"/>
          </w:tcPr>
          <w:p w:rsidR="00257BFA" w:rsidRPr="008F301F" w:rsidRDefault="00257BFA" w:rsidP="00714E46">
            <w:pPr>
              <w:rPr>
                <w:rFonts w:ascii="Arial" w:hAnsi="Arial" w:cs="Arial"/>
                <w:b/>
                <w:color w:val="000000"/>
                <w:szCs w:val="20"/>
              </w:rPr>
            </w:pPr>
            <w:r w:rsidRPr="008F301F">
              <w:rPr>
                <w:rFonts w:ascii="Arial" w:hAnsi="Arial" w:cs="Arial"/>
                <w:b/>
                <w:bCs/>
                <w:color w:val="000000"/>
                <w:szCs w:val="20"/>
              </w:rPr>
              <w:t>Zavěšení, odpružení a</w:t>
            </w:r>
            <w:r>
              <w:rPr>
                <w:rFonts w:ascii="Arial" w:hAnsi="Arial" w:cs="Arial"/>
                <w:b/>
                <w:bCs/>
                <w:color w:val="000000"/>
                <w:szCs w:val="20"/>
              </w:rPr>
              <w:t> </w:t>
            </w:r>
            <w:r w:rsidRPr="008F301F">
              <w:rPr>
                <w:rFonts w:ascii="Arial" w:hAnsi="Arial" w:cs="Arial"/>
                <w:b/>
                <w:bCs/>
                <w:color w:val="000000"/>
                <w:szCs w:val="20"/>
              </w:rPr>
              <w:t>tlumení</w:t>
            </w:r>
          </w:p>
        </w:tc>
        <w:tc>
          <w:tcPr>
            <w:tcW w:w="6734" w:type="dxa"/>
            <w:gridSpan w:val="2"/>
            <w:shd w:val="clear" w:color="auto" w:fill="auto"/>
            <w:vAlign w:val="center"/>
          </w:tcPr>
          <w:p w:rsidR="00257BFA" w:rsidRPr="008F301F" w:rsidRDefault="00257BFA" w:rsidP="00714E46">
            <w:pPr>
              <w:rPr>
                <w:rFonts w:ascii="Arial" w:hAnsi="Arial" w:cs="Arial"/>
                <w:color w:val="000000"/>
                <w:szCs w:val="20"/>
              </w:rPr>
            </w:pPr>
            <w:r>
              <w:rPr>
                <w:rFonts w:ascii="Arial" w:hAnsi="Arial" w:cs="Arial"/>
                <w:color w:val="000000"/>
                <w:szCs w:val="20"/>
              </w:rPr>
              <w:t>Vpředu</w:t>
            </w:r>
            <w:r w:rsidRPr="008F301F">
              <w:rPr>
                <w:rFonts w:ascii="Arial" w:hAnsi="Arial" w:cs="Arial"/>
                <w:color w:val="000000"/>
                <w:szCs w:val="20"/>
              </w:rPr>
              <w:t xml:space="preserve"> – </w:t>
            </w:r>
            <w:r>
              <w:rPr>
                <w:rFonts w:ascii="Arial" w:hAnsi="Arial" w:cs="Arial"/>
                <w:color w:val="000000"/>
                <w:szCs w:val="20"/>
              </w:rPr>
              <w:t xml:space="preserve">nezávislé zavěšení s hliníkovými rameny, tlumiče pérování FOX s vnitřním obtokem a technologií </w:t>
            </w:r>
            <w:r w:rsidRPr="008F301F">
              <w:rPr>
                <w:rFonts w:ascii="Arial" w:hAnsi="Arial" w:cs="Arial"/>
                <w:color w:val="000000"/>
                <w:szCs w:val="20"/>
              </w:rPr>
              <w:t>Position Sensitive Damping</w:t>
            </w:r>
          </w:p>
        </w:tc>
      </w:tr>
      <w:tr w:rsidR="00257BFA" w:rsidRPr="008F301F" w:rsidTr="00714E46">
        <w:tc>
          <w:tcPr>
            <w:tcW w:w="2730" w:type="dxa"/>
            <w:vMerge/>
            <w:shd w:val="clear" w:color="auto" w:fill="auto"/>
          </w:tcPr>
          <w:p w:rsidR="00257BFA" w:rsidRPr="008F301F" w:rsidRDefault="00257BFA" w:rsidP="00714E46">
            <w:pPr>
              <w:rPr>
                <w:rFonts w:ascii="Arial" w:hAnsi="Arial" w:cs="Arial"/>
                <w:color w:val="000000"/>
                <w:szCs w:val="20"/>
              </w:rPr>
            </w:pPr>
          </w:p>
        </w:tc>
        <w:tc>
          <w:tcPr>
            <w:tcW w:w="6734" w:type="dxa"/>
            <w:gridSpan w:val="2"/>
            <w:shd w:val="clear" w:color="auto" w:fill="auto"/>
            <w:vAlign w:val="center"/>
          </w:tcPr>
          <w:p w:rsidR="00257BFA" w:rsidRPr="008F301F" w:rsidRDefault="00257BFA" w:rsidP="00714E46">
            <w:pPr>
              <w:rPr>
                <w:rFonts w:ascii="Arial" w:hAnsi="Arial" w:cs="Arial"/>
                <w:color w:val="000000"/>
                <w:szCs w:val="20"/>
              </w:rPr>
            </w:pPr>
            <w:r>
              <w:rPr>
                <w:rFonts w:ascii="Arial" w:hAnsi="Arial" w:cs="Arial"/>
                <w:color w:val="000000"/>
                <w:szCs w:val="20"/>
              </w:rPr>
              <w:t>Vzadu</w:t>
            </w:r>
            <w:r w:rsidRPr="008F301F">
              <w:rPr>
                <w:rFonts w:ascii="Arial" w:hAnsi="Arial" w:cs="Arial"/>
                <w:color w:val="000000"/>
                <w:szCs w:val="20"/>
              </w:rPr>
              <w:t xml:space="preserve"> – </w:t>
            </w:r>
            <w:r>
              <w:rPr>
                <w:rFonts w:ascii="Arial" w:hAnsi="Arial" w:cs="Arial"/>
                <w:color w:val="000000"/>
                <w:szCs w:val="20"/>
              </w:rPr>
              <w:t xml:space="preserve">tuhá náprava s Wattovým přímovodem, tlumiče pérování FOX s vnitřním obtokem a technologií </w:t>
            </w:r>
            <w:r w:rsidRPr="008F301F">
              <w:rPr>
                <w:rFonts w:ascii="Arial" w:hAnsi="Arial" w:cs="Arial"/>
                <w:color w:val="000000"/>
                <w:szCs w:val="20"/>
              </w:rPr>
              <w:t>Position Sensitive Damping</w:t>
            </w:r>
          </w:p>
        </w:tc>
      </w:tr>
      <w:tr w:rsidR="00257BFA" w:rsidRPr="008F301F" w:rsidTr="00714E46">
        <w:tc>
          <w:tcPr>
            <w:tcW w:w="2730" w:type="dxa"/>
            <w:vMerge w:val="restart"/>
            <w:shd w:val="clear" w:color="auto" w:fill="auto"/>
          </w:tcPr>
          <w:p w:rsidR="00257BFA" w:rsidRPr="008F301F" w:rsidRDefault="00257BFA" w:rsidP="00714E46">
            <w:pPr>
              <w:rPr>
                <w:rFonts w:ascii="Arial" w:hAnsi="Arial" w:cs="Arial"/>
                <w:b/>
                <w:color w:val="000000"/>
                <w:szCs w:val="20"/>
              </w:rPr>
            </w:pPr>
            <w:r>
              <w:rPr>
                <w:rFonts w:ascii="Arial" w:hAnsi="Arial" w:cs="Arial"/>
                <w:b/>
                <w:bCs/>
                <w:color w:val="000000"/>
                <w:szCs w:val="20"/>
              </w:rPr>
              <w:t>Řízení</w:t>
            </w:r>
          </w:p>
        </w:tc>
        <w:tc>
          <w:tcPr>
            <w:tcW w:w="6734" w:type="dxa"/>
            <w:gridSpan w:val="2"/>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Hřebenové s elektromechanickým posilovačem</w:t>
            </w:r>
            <w:r w:rsidRPr="008F301F">
              <w:rPr>
                <w:rFonts w:ascii="Arial" w:hAnsi="Arial" w:cs="Arial"/>
                <w:color w:val="000000"/>
                <w:szCs w:val="20"/>
              </w:rPr>
              <w:t xml:space="preserve"> (EPAS)</w:t>
            </w:r>
          </w:p>
        </w:tc>
      </w:tr>
      <w:tr w:rsidR="00257BFA" w:rsidRPr="008F301F" w:rsidTr="00714E46">
        <w:tc>
          <w:tcPr>
            <w:tcW w:w="2730" w:type="dxa"/>
            <w:vMerge/>
            <w:shd w:val="clear" w:color="auto" w:fill="auto"/>
          </w:tcPr>
          <w:p w:rsidR="00257BFA" w:rsidRPr="008F301F" w:rsidRDefault="00257BFA" w:rsidP="00714E46">
            <w:pPr>
              <w:rPr>
                <w:rFonts w:ascii="Arial" w:hAnsi="Arial" w:cs="Arial"/>
                <w:b/>
                <w:bCs/>
                <w:color w:val="000000"/>
                <w:szCs w:val="20"/>
              </w:rPr>
            </w:pPr>
          </w:p>
        </w:tc>
        <w:tc>
          <w:tcPr>
            <w:tcW w:w="6734" w:type="dxa"/>
            <w:gridSpan w:val="2"/>
            <w:shd w:val="clear" w:color="auto" w:fill="auto"/>
          </w:tcPr>
          <w:p w:rsidR="00257BFA" w:rsidRPr="008F301F" w:rsidRDefault="00257BFA" w:rsidP="00714E46">
            <w:pPr>
              <w:tabs>
                <w:tab w:val="center" w:pos="3259"/>
              </w:tabs>
              <w:rPr>
                <w:rFonts w:ascii="Arial" w:hAnsi="Arial" w:cs="Arial"/>
                <w:color w:val="000000"/>
                <w:szCs w:val="20"/>
              </w:rPr>
            </w:pPr>
            <w:r>
              <w:rPr>
                <w:rFonts w:ascii="Arial" w:hAnsi="Arial" w:cs="Arial"/>
                <w:color w:val="000000"/>
                <w:szCs w:val="20"/>
              </w:rPr>
              <w:t>Převod</w:t>
            </w:r>
            <w:r w:rsidRPr="008F301F">
              <w:rPr>
                <w:rFonts w:ascii="Arial" w:hAnsi="Arial" w:cs="Arial"/>
                <w:color w:val="000000"/>
                <w:szCs w:val="20"/>
              </w:rPr>
              <w:t xml:space="preserve"> – 18</w:t>
            </w:r>
            <w:r>
              <w:rPr>
                <w:rFonts w:ascii="Arial" w:hAnsi="Arial" w:cs="Arial"/>
                <w:color w:val="000000"/>
                <w:szCs w:val="20"/>
              </w:rPr>
              <w:t>,</w:t>
            </w:r>
            <w:r w:rsidRPr="008F301F">
              <w:rPr>
                <w:rFonts w:ascii="Arial" w:hAnsi="Arial" w:cs="Arial"/>
                <w:color w:val="000000"/>
                <w:szCs w:val="20"/>
              </w:rPr>
              <w:t>6:1</w:t>
            </w:r>
            <w:r w:rsidRPr="008F301F">
              <w:rPr>
                <w:rFonts w:ascii="Arial" w:hAnsi="Arial" w:cs="Arial"/>
                <w:color w:val="000000"/>
                <w:szCs w:val="20"/>
              </w:rPr>
              <w:tab/>
            </w:r>
          </w:p>
        </w:tc>
      </w:tr>
      <w:tr w:rsidR="00257BFA" w:rsidRPr="008F301F" w:rsidTr="00714E46">
        <w:tc>
          <w:tcPr>
            <w:tcW w:w="2730" w:type="dxa"/>
            <w:vMerge/>
            <w:shd w:val="clear" w:color="auto" w:fill="auto"/>
          </w:tcPr>
          <w:p w:rsidR="00257BFA" w:rsidRPr="008F301F" w:rsidRDefault="00257BFA" w:rsidP="00714E46">
            <w:pPr>
              <w:rPr>
                <w:rFonts w:ascii="Arial" w:hAnsi="Arial" w:cs="Arial"/>
                <w:color w:val="000000"/>
                <w:szCs w:val="20"/>
              </w:rPr>
            </w:pPr>
          </w:p>
        </w:tc>
        <w:tc>
          <w:tcPr>
            <w:tcW w:w="6734" w:type="dxa"/>
            <w:gridSpan w:val="2"/>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Stopový poloměr otáčení</w:t>
            </w:r>
            <w:r w:rsidRPr="008F301F">
              <w:rPr>
                <w:rFonts w:ascii="Arial" w:hAnsi="Arial" w:cs="Arial"/>
                <w:color w:val="000000"/>
                <w:szCs w:val="20"/>
              </w:rPr>
              <w:t xml:space="preserve"> – </w:t>
            </w:r>
            <w:r>
              <w:rPr>
                <w:rFonts w:ascii="Arial" w:hAnsi="Arial" w:cs="Arial"/>
                <w:color w:val="000000"/>
                <w:szCs w:val="20"/>
              </w:rPr>
              <w:t>6,45</w:t>
            </w:r>
            <w:r w:rsidRPr="008F301F">
              <w:rPr>
                <w:rFonts w:ascii="Arial" w:hAnsi="Arial" w:cs="Arial"/>
                <w:color w:val="000000"/>
                <w:szCs w:val="20"/>
              </w:rPr>
              <w:t xml:space="preserve"> m</w:t>
            </w:r>
          </w:p>
        </w:tc>
      </w:tr>
      <w:tr w:rsidR="00257BFA" w:rsidRPr="008F301F" w:rsidTr="00714E46">
        <w:tc>
          <w:tcPr>
            <w:tcW w:w="2730" w:type="dxa"/>
            <w:vMerge/>
            <w:shd w:val="clear" w:color="auto" w:fill="auto"/>
          </w:tcPr>
          <w:p w:rsidR="00257BFA" w:rsidRPr="008F301F" w:rsidRDefault="00257BFA" w:rsidP="00714E46">
            <w:pPr>
              <w:rPr>
                <w:rFonts w:ascii="Arial" w:hAnsi="Arial" w:cs="Arial"/>
                <w:color w:val="000000"/>
                <w:szCs w:val="20"/>
              </w:rPr>
            </w:pPr>
          </w:p>
        </w:tc>
        <w:tc>
          <w:tcPr>
            <w:tcW w:w="6734" w:type="dxa"/>
            <w:gridSpan w:val="2"/>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Počet otáček volantu mezi krajními polohami</w:t>
            </w:r>
            <w:r w:rsidRPr="008F301F">
              <w:rPr>
                <w:rFonts w:ascii="Arial" w:hAnsi="Arial" w:cs="Arial"/>
                <w:color w:val="000000"/>
                <w:szCs w:val="20"/>
              </w:rPr>
              <w:t xml:space="preserve"> – 3</w:t>
            </w:r>
            <w:r>
              <w:rPr>
                <w:rFonts w:ascii="Arial" w:hAnsi="Arial" w:cs="Arial"/>
                <w:color w:val="000000"/>
                <w:szCs w:val="20"/>
              </w:rPr>
              <w:t>,</w:t>
            </w:r>
            <w:r w:rsidRPr="008F301F">
              <w:rPr>
                <w:rFonts w:ascii="Arial" w:hAnsi="Arial" w:cs="Arial"/>
                <w:color w:val="000000"/>
                <w:szCs w:val="20"/>
              </w:rPr>
              <w:t xml:space="preserve">49  </w:t>
            </w:r>
          </w:p>
        </w:tc>
      </w:tr>
      <w:tr w:rsidR="00257BFA" w:rsidRPr="008F301F" w:rsidTr="00714E46">
        <w:tc>
          <w:tcPr>
            <w:tcW w:w="2730" w:type="dxa"/>
            <w:vMerge w:val="restart"/>
            <w:shd w:val="clear" w:color="auto" w:fill="auto"/>
          </w:tcPr>
          <w:p w:rsidR="00257BFA" w:rsidRPr="008F301F" w:rsidRDefault="00257BFA" w:rsidP="00714E46">
            <w:pPr>
              <w:rPr>
                <w:rFonts w:ascii="Arial" w:hAnsi="Arial" w:cs="Arial"/>
                <w:b/>
                <w:color w:val="000000"/>
                <w:szCs w:val="20"/>
              </w:rPr>
            </w:pPr>
            <w:r>
              <w:rPr>
                <w:rFonts w:ascii="Arial" w:hAnsi="Arial" w:cs="Arial"/>
                <w:b/>
                <w:color w:val="000000"/>
                <w:szCs w:val="20"/>
              </w:rPr>
              <w:t>Brzdy</w:t>
            </w:r>
          </w:p>
        </w:tc>
        <w:tc>
          <w:tcPr>
            <w:tcW w:w="6734" w:type="dxa"/>
            <w:gridSpan w:val="2"/>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Vpředu</w:t>
            </w:r>
            <w:r w:rsidRPr="008F301F">
              <w:rPr>
                <w:rFonts w:ascii="Arial" w:hAnsi="Arial" w:cs="Arial"/>
                <w:color w:val="000000"/>
                <w:szCs w:val="20"/>
              </w:rPr>
              <w:t xml:space="preserve"> – </w:t>
            </w:r>
            <w:r>
              <w:rPr>
                <w:rFonts w:ascii="Arial" w:hAnsi="Arial" w:cs="Arial"/>
                <w:color w:val="000000"/>
                <w:szCs w:val="20"/>
              </w:rPr>
              <w:t>chlazené kotoučové,</w:t>
            </w:r>
            <w:r w:rsidRPr="008F301F">
              <w:rPr>
                <w:rFonts w:ascii="Arial" w:hAnsi="Arial" w:cs="Arial"/>
                <w:color w:val="000000"/>
                <w:szCs w:val="20"/>
              </w:rPr>
              <w:t xml:space="preserve"> 332 x 32 mm</w:t>
            </w:r>
          </w:p>
        </w:tc>
      </w:tr>
      <w:tr w:rsidR="00257BFA" w:rsidRPr="008F301F" w:rsidTr="00714E46">
        <w:tc>
          <w:tcPr>
            <w:tcW w:w="2730" w:type="dxa"/>
            <w:vMerge/>
            <w:shd w:val="clear" w:color="auto" w:fill="auto"/>
          </w:tcPr>
          <w:p w:rsidR="00257BFA" w:rsidRPr="008F301F" w:rsidRDefault="00257BFA" w:rsidP="00714E46">
            <w:pPr>
              <w:rPr>
                <w:rFonts w:ascii="Arial" w:hAnsi="Arial" w:cs="Arial"/>
                <w:color w:val="000000"/>
                <w:szCs w:val="20"/>
              </w:rPr>
            </w:pPr>
          </w:p>
        </w:tc>
        <w:tc>
          <w:tcPr>
            <w:tcW w:w="6734" w:type="dxa"/>
            <w:gridSpan w:val="2"/>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Vzadu</w:t>
            </w:r>
            <w:r w:rsidRPr="008F301F">
              <w:rPr>
                <w:rFonts w:ascii="Arial" w:hAnsi="Arial" w:cs="Arial"/>
                <w:color w:val="000000"/>
                <w:szCs w:val="20"/>
              </w:rPr>
              <w:t xml:space="preserve"> – </w:t>
            </w:r>
            <w:r>
              <w:rPr>
                <w:rFonts w:ascii="Arial" w:hAnsi="Arial" w:cs="Arial"/>
                <w:color w:val="000000"/>
                <w:szCs w:val="20"/>
              </w:rPr>
              <w:t>chlazené kotoučové,</w:t>
            </w:r>
            <w:r w:rsidRPr="008F301F">
              <w:rPr>
                <w:rFonts w:ascii="Arial" w:hAnsi="Arial" w:cs="Arial"/>
                <w:color w:val="000000"/>
                <w:szCs w:val="20"/>
              </w:rPr>
              <w:t xml:space="preserve"> 332 x 24 mm</w:t>
            </w:r>
          </w:p>
        </w:tc>
      </w:tr>
      <w:tr w:rsidR="00257BFA" w:rsidRPr="008F301F" w:rsidTr="00714E46">
        <w:tc>
          <w:tcPr>
            <w:tcW w:w="2730" w:type="dxa"/>
            <w:vMerge/>
            <w:shd w:val="clear" w:color="auto" w:fill="auto"/>
          </w:tcPr>
          <w:p w:rsidR="00257BFA" w:rsidRPr="008F301F" w:rsidRDefault="00257BFA" w:rsidP="00714E46">
            <w:pPr>
              <w:rPr>
                <w:rFonts w:ascii="Arial" w:hAnsi="Arial" w:cs="Arial"/>
                <w:color w:val="000000"/>
                <w:szCs w:val="20"/>
              </w:rPr>
            </w:pPr>
          </w:p>
        </w:tc>
        <w:tc>
          <w:tcPr>
            <w:tcW w:w="6734" w:type="dxa"/>
            <w:gridSpan w:val="2"/>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Modulace</w:t>
            </w:r>
            <w:r w:rsidRPr="008F301F">
              <w:rPr>
                <w:rFonts w:ascii="Arial" w:hAnsi="Arial" w:cs="Arial"/>
                <w:color w:val="000000"/>
                <w:szCs w:val="20"/>
              </w:rPr>
              <w:t xml:space="preserve"> – </w:t>
            </w:r>
            <w:r>
              <w:rPr>
                <w:rFonts w:ascii="Arial" w:hAnsi="Arial" w:cs="Arial"/>
                <w:color w:val="000000"/>
                <w:szCs w:val="20"/>
              </w:rPr>
              <w:t>elektronické rozdělování brzdného tlaku, elektronicky řízený čtyřkanálový protiblokovací systém s elektronickým stabilizačním programem, elektronický brzdový asistent, asistent sjíždění svahů, asistent rozjezdů ve svahu, adaptace na aktuální zatížení, předkolizní asistent s detekcí chodců, ochrana proti převrácení, stabilizace přívěsu</w:t>
            </w:r>
          </w:p>
        </w:tc>
      </w:tr>
      <w:tr w:rsidR="00257BFA" w:rsidRPr="008F301F" w:rsidTr="00714E46">
        <w:tc>
          <w:tcPr>
            <w:tcW w:w="2730" w:type="dxa"/>
            <w:shd w:val="clear" w:color="auto" w:fill="auto"/>
          </w:tcPr>
          <w:p w:rsidR="00257BFA" w:rsidRPr="008F301F" w:rsidRDefault="00257BFA" w:rsidP="00714E46">
            <w:pPr>
              <w:rPr>
                <w:rFonts w:ascii="Arial" w:hAnsi="Arial" w:cs="Arial"/>
                <w:b/>
                <w:iCs/>
                <w:color w:val="000000"/>
                <w:szCs w:val="20"/>
              </w:rPr>
            </w:pPr>
            <w:r>
              <w:rPr>
                <w:rFonts w:ascii="Arial" w:hAnsi="Arial" w:cs="Arial"/>
                <w:b/>
                <w:iCs/>
                <w:color w:val="000000"/>
                <w:szCs w:val="20"/>
              </w:rPr>
              <w:t>Kola a pneumatiky</w:t>
            </w:r>
          </w:p>
          <w:p w:rsidR="00257BFA" w:rsidRPr="008F301F" w:rsidRDefault="00257BFA" w:rsidP="00714E46">
            <w:pPr>
              <w:rPr>
                <w:rFonts w:ascii="Arial" w:hAnsi="Arial" w:cs="Arial"/>
                <w:color w:val="000000"/>
                <w:szCs w:val="20"/>
              </w:rPr>
            </w:pPr>
          </w:p>
        </w:tc>
        <w:tc>
          <w:tcPr>
            <w:tcW w:w="3166" w:type="dxa"/>
            <w:shd w:val="clear" w:color="auto" w:fill="auto"/>
          </w:tcPr>
          <w:p w:rsidR="00257BFA" w:rsidRPr="008F301F" w:rsidRDefault="00257BFA" w:rsidP="00714E46">
            <w:pPr>
              <w:rPr>
                <w:rFonts w:ascii="Arial" w:hAnsi="Arial" w:cs="Arial"/>
                <w:color w:val="000000"/>
                <w:szCs w:val="20"/>
              </w:rPr>
            </w:pPr>
            <w:r w:rsidRPr="008F301F">
              <w:rPr>
                <w:rFonts w:ascii="Arial" w:hAnsi="Arial" w:cs="Arial"/>
                <w:iCs/>
                <w:color w:val="000000"/>
                <w:szCs w:val="20"/>
              </w:rPr>
              <w:t>8</w:t>
            </w:r>
            <w:r>
              <w:rPr>
                <w:rFonts w:ascii="Arial" w:hAnsi="Arial" w:cs="Arial"/>
                <w:iCs/>
                <w:color w:val="000000"/>
                <w:szCs w:val="20"/>
              </w:rPr>
              <w:t>,</w:t>
            </w:r>
            <w:r w:rsidRPr="008F301F">
              <w:rPr>
                <w:rFonts w:ascii="Arial" w:hAnsi="Arial" w:cs="Arial"/>
                <w:iCs/>
                <w:color w:val="000000"/>
                <w:szCs w:val="20"/>
              </w:rPr>
              <w:t>5 x 17</w:t>
            </w:r>
            <w:r>
              <w:rPr>
                <w:rFonts w:ascii="Arial" w:hAnsi="Arial" w:cs="Arial"/>
                <w:iCs/>
                <w:color w:val="000000"/>
                <w:szCs w:val="20"/>
              </w:rPr>
              <w:t xml:space="preserve"> palců, z lehké slitiny</w:t>
            </w:r>
          </w:p>
        </w:tc>
        <w:tc>
          <w:tcPr>
            <w:tcW w:w="3568" w:type="dxa"/>
            <w:shd w:val="clear" w:color="auto" w:fill="auto"/>
          </w:tcPr>
          <w:p w:rsidR="00257BFA" w:rsidRPr="008F301F" w:rsidRDefault="00257BFA" w:rsidP="00714E46">
            <w:pPr>
              <w:rPr>
                <w:rFonts w:ascii="Arial" w:hAnsi="Arial" w:cs="Arial"/>
                <w:iCs/>
                <w:color w:val="000000"/>
                <w:szCs w:val="20"/>
              </w:rPr>
            </w:pPr>
            <w:r w:rsidRPr="008F301F">
              <w:rPr>
                <w:rFonts w:ascii="Arial" w:hAnsi="Arial" w:cs="Arial"/>
                <w:iCs/>
                <w:color w:val="000000"/>
                <w:szCs w:val="20"/>
              </w:rPr>
              <w:t>285/70 R17 BFGoodrich All-Terrain T/A KO2</w:t>
            </w:r>
          </w:p>
        </w:tc>
      </w:tr>
    </w:tbl>
    <w:p w:rsidR="00257BFA" w:rsidRPr="008F301F" w:rsidRDefault="00257BFA" w:rsidP="00257BFA">
      <w:pPr>
        <w:rPr>
          <w:rFonts w:ascii="Arial" w:hAnsi="Arial" w:cs="Arial"/>
          <w:color w:val="000000"/>
          <w:szCs w:val="20"/>
        </w:rPr>
      </w:pPr>
    </w:p>
    <w:p w:rsidR="00257BFA" w:rsidRPr="008F301F" w:rsidRDefault="00257BFA" w:rsidP="00257BFA">
      <w:pPr>
        <w:rPr>
          <w:rFonts w:ascii="Arial" w:hAnsi="Arial" w:cs="Arial"/>
          <w:b/>
          <w:bCs/>
          <w:szCs w:val="20"/>
          <w:u w:val="single"/>
        </w:rPr>
      </w:pPr>
    </w:p>
    <w:p w:rsidR="00257BFA" w:rsidRPr="008F301F" w:rsidRDefault="00257BFA" w:rsidP="00257BFA">
      <w:pPr>
        <w:rPr>
          <w:rFonts w:ascii="Arial" w:hAnsi="Arial" w:cs="Arial"/>
          <w:b/>
          <w:bCs/>
          <w:szCs w:val="20"/>
          <w:u w:val="single"/>
        </w:rPr>
      </w:pPr>
      <w:r>
        <w:rPr>
          <w:rFonts w:ascii="Arial" w:hAnsi="Arial" w:cs="Arial"/>
          <w:b/>
          <w:bCs/>
          <w:szCs w:val="20"/>
          <w:u w:val="single"/>
        </w:rPr>
        <w:t>MOTOR</w:t>
      </w:r>
    </w:p>
    <w:p w:rsidR="00257BFA" w:rsidRPr="008F301F" w:rsidRDefault="00257BFA" w:rsidP="00257BFA">
      <w:pPr>
        <w:rPr>
          <w:rFonts w:ascii="Arial" w:hAnsi="Arial" w:cs="Arial"/>
          <w:b/>
          <w:bCs/>
          <w:color w:val="00B05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122"/>
      </w:tblGrid>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sidRPr="008F301F">
              <w:rPr>
                <w:rFonts w:ascii="Arial" w:hAnsi="Arial" w:cs="Arial"/>
                <w:szCs w:val="20"/>
              </w:rPr>
              <w:br w:type="page"/>
            </w:r>
            <w:r>
              <w:rPr>
                <w:rFonts w:ascii="Arial" w:hAnsi="Arial" w:cs="Arial"/>
                <w:szCs w:val="20"/>
              </w:rPr>
              <w:t>Typ</w:t>
            </w:r>
            <w:r w:rsidRPr="008F301F">
              <w:rPr>
                <w:rFonts w:ascii="Arial" w:hAnsi="Arial" w:cs="Arial"/>
                <w:bCs/>
                <w:szCs w:val="20"/>
              </w:rPr>
              <w:t xml:space="preserve"> </w:t>
            </w:r>
          </w:p>
        </w:tc>
        <w:tc>
          <w:tcPr>
            <w:tcW w:w="6633" w:type="dxa"/>
            <w:shd w:val="clear" w:color="auto" w:fill="auto"/>
          </w:tcPr>
          <w:p w:rsidR="00257BFA" w:rsidRPr="008F301F" w:rsidRDefault="00257BFA" w:rsidP="00714E46">
            <w:pPr>
              <w:jc w:val="center"/>
              <w:rPr>
                <w:rFonts w:ascii="Arial" w:hAnsi="Arial" w:cs="Arial"/>
                <w:b/>
                <w:bCs/>
                <w:color w:val="000000"/>
                <w:szCs w:val="20"/>
                <w:u w:val="single"/>
              </w:rPr>
            </w:pPr>
            <w:r>
              <w:rPr>
                <w:rFonts w:ascii="Arial" w:hAnsi="Arial" w:cs="Arial"/>
                <w:b/>
                <w:bCs/>
                <w:color w:val="000000"/>
                <w:szCs w:val="20"/>
              </w:rPr>
              <w:t>2.0 EcoBlue Bi-Turbo</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szCs w:val="20"/>
              </w:rPr>
            </w:pPr>
            <w:r>
              <w:rPr>
                <w:rFonts w:ascii="Arial" w:hAnsi="Arial" w:cs="Arial"/>
                <w:bCs/>
                <w:szCs w:val="20"/>
              </w:rPr>
              <w:t>Konstrukce</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Přeplňovaný řadový vznětový čtyřválec, uložený vpředu podélně</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Zdvihový objem válců</w:t>
            </w:r>
            <w:r w:rsidRPr="008F301F">
              <w:rPr>
                <w:rFonts w:ascii="Arial" w:hAnsi="Arial" w:cs="Arial"/>
                <w:bCs/>
                <w:szCs w:val="20"/>
              </w:rPr>
              <w:t xml:space="preserve"> (</w:t>
            </w:r>
            <w:r>
              <w:rPr>
                <w:rFonts w:ascii="Arial" w:hAnsi="Arial" w:cs="Arial"/>
                <w:bCs/>
                <w:szCs w:val="20"/>
              </w:rPr>
              <w:t>cm</w:t>
            </w:r>
            <w:r w:rsidRPr="006613F5">
              <w:rPr>
                <w:rFonts w:ascii="Arial" w:hAnsi="Arial" w:cs="Arial"/>
                <w:bCs/>
                <w:szCs w:val="20"/>
                <w:vertAlign w:val="superscript"/>
              </w:rPr>
              <w:t>3</w:t>
            </w:r>
            <w:r w:rsidRPr="008F301F">
              <w:rPr>
                <w:rFonts w:ascii="Arial" w:hAnsi="Arial" w:cs="Arial"/>
                <w:bCs/>
                <w:szCs w:val="20"/>
              </w:rPr>
              <w:t>)</w:t>
            </w:r>
          </w:p>
        </w:tc>
        <w:tc>
          <w:tcPr>
            <w:tcW w:w="6633" w:type="dxa"/>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996</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Vrtání</w:t>
            </w:r>
            <w:r w:rsidRPr="008F301F">
              <w:rPr>
                <w:rFonts w:ascii="Arial" w:hAnsi="Arial" w:cs="Arial"/>
                <w:bCs/>
                <w:szCs w:val="20"/>
              </w:rPr>
              <w:t xml:space="preserve"> (mm)</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84</w:t>
            </w:r>
            <w:r>
              <w:rPr>
                <w:rFonts w:ascii="Arial" w:hAnsi="Arial" w:cs="Arial"/>
                <w:bCs/>
                <w:color w:val="000000"/>
                <w:szCs w:val="20"/>
              </w:rPr>
              <w:t>,</w:t>
            </w:r>
            <w:r w:rsidRPr="008F301F">
              <w:rPr>
                <w:rFonts w:ascii="Arial" w:hAnsi="Arial" w:cs="Arial"/>
                <w:bCs/>
                <w:color w:val="000000"/>
                <w:szCs w:val="20"/>
              </w:rPr>
              <w:t>01</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Zdvih</w:t>
            </w:r>
            <w:r w:rsidRPr="008F301F">
              <w:rPr>
                <w:rFonts w:ascii="Arial" w:hAnsi="Arial" w:cs="Arial"/>
                <w:bCs/>
                <w:szCs w:val="20"/>
              </w:rPr>
              <w:t xml:space="preserve"> (mm)</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90</w:t>
            </w:r>
            <w:r>
              <w:rPr>
                <w:rFonts w:ascii="Arial" w:hAnsi="Arial" w:cs="Arial"/>
                <w:bCs/>
                <w:color w:val="000000"/>
                <w:szCs w:val="20"/>
              </w:rPr>
              <w:t>,</w:t>
            </w:r>
            <w:r w:rsidRPr="008F301F">
              <w:rPr>
                <w:rFonts w:ascii="Arial" w:hAnsi="Arial" w:cs="Arial"/>
                <w:bCs/>
                <w:color w:val="000000"/>
                <w:szCs w:val="20"/>
              </w:rPr>
              <w:t>00</w:t>
            </w:r>
          </w:p>
        </w:tc>
      </w:tr>
      <w:tr w:rsidR="00257BFA" w:rsidRPr="008F301F" w:rsidTr="00714E46">
        <w:trPr>
          <w:trHeight w:val="215"/>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Nejvyšší výkon</w:t>
            </w:r>
            <w:r w:rsidRPr="008F301F">
              <w:rPr>
                <w:rFonts w:ascii="Arial" w:hAnsi="Arial" w:cs="Arial"/>
                <w:bCs/>
                <w:szCs w:val="20"/>
              </w:rPr>
              <w:t xml:space="preserve"> (</w:t>
            </w:r>
            <w:r>
              <w:rPr>
                <w:rFonts w:ascii="Arial" w:hAnsi="Arial" w:cs="Arial"/>
                <w:bCs/>
                <w:szCs w:val="20"/>
              </w:rPr>
              <w:t>k</w:t>
            </w:r>
            <w:r w:rsidRPr="008F301F">
              <w:rPr>
                <w:rFonts w:ascii="Arial" w:hAnsi="Arial" w:cs="Arial"/>
                <w:bCs/>
                <w:szCs w:val="20"/>
              </w:rPr>
              <w:t xml:space="preserve"> / kW)</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 xml:space="preserve">213 / 157 </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v ot.min</w:t>
            </w:r>
            <w:r w:rsidRPr="006613F5">
              <w:rPr>
                <w:rFonts w:ascii="Arial" w:hAnsi="Arial" w:cs="Arial"/>
                <w:bCs/>
                <w:szCs w:val="20"/>
                <w:vertAlign w:val="superscript"/>
              </w:rPr>
              <w:t>-1</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3</w:t>
            </w:r>
            <w:r>
              <w:rPr>
                <w:rFonts w:ascii="Arial" w:hAnsi="Arial" w:cs="Arial"/>
                <w:bCs/>
                <w:color w:val="000000"/>
                <w:szCs w:val="20"/>
              </w:rPr>
              <w:t xml:space="preserve"> </w:t>
            </w:r>
            <w:r w:rsidRPr="008F301F">
              <w:rPr>
                <w:rFonts w:ascii="Arial" w:hAnsi="Arial" w:cs="Arial"/>
                <w:bCs/>
                <w:color w:val="000000"/>
                <w:szCs w:val="20"/>
              </w:rPr>
              <w:t>750</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Nejvyšší točivý moment</w:t>
            </w:r>
            <w:r w:rsidRPr="008F301F">
              <w:rPr>
                <w:rFonts w:ascii="Arial" w:hAnsi="Arial" w:cs="Arial"/>
                <w:bCs/>
                <w:szCs w:val="20"/>
              </w:rPr>
              <w:t xml:space="preserve"> (Nm)</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500</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v ot.min</w:t>
            </w:r>
            <w:r w:rsidRPr="006613F5">
              <w:rPr>
                <w:rFonts w:ascii="Arial" w:hAnsi="Arial" w:cs="Arial"/>
                <w:bCs/>
                <w:szCs w:val="20"/>
                <w:vertAlign w:val="superscript"/>
              </w:rPr>
              <w:t>-1</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1</w:t>
            </w:r>
            <w:r>
              <w:rPr>
                <w:rFonts w:ascii="Arial" w:hAnsi="Arial" w:cs="Arial"/>
                <w:bCs/>
                <w:color w:val="000000"/>
                <w:szCs w:val="20"/>
              </w:rPr>
              <w:t xml:space="preserve"> </w:t>
            </w:r>
            <w:r w:rsidRPr="008F301F">
              <w:rPr>
                <w:rFonts w:ascii="Arial" w:hAnsi="Arial" w:cs="Arial"/>
                <w:bCs/>
                <w:color w:val="000000"/>
                <w:szCs w:val="20"/>
              </w:rPr>
              <w:t>750-2</w:t>
            </w:r>
            <w:r>
              <w:rPr>
                <w:rFonts w:ascii="Arial" w:hAnsi="Arial" w:cs="Arial"/>
                <w:bCs/>
                <w:color w:val="000000"/>
                <w:szCs w:val="20"/>
              </w:rPr>
              <w:t xml:space="preserve"> </w:t>
            </w:r>
            <w:r w:rsidRPr="008F301F">
              <w:rPr>
                <w:rFonts w:ascii="Arial" w:hAnsi="Arial" w:cs="Arial"/>
                <w:bCs/>
                <w:color w:val="000000"/>
                <w:szCs w:val="20"/>
              </w:rPr>
              <w:t>000</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Kompresní poměr</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16</w:t>
            </w:r>
            <w:r>
              <w:rPr>
                <w:rFonts w:ascii="Arial" w:hAnsi="Arial" w:cs="Arial"/>
                <w:bCs/>
                <w:color w:val="000000"/>
                <w:szCs w:val="20"/>
              </w:rPr>
              <w:t>,</w:t>
            </w:r>
            <w:r w:rsidRPr="008F301F">
              <w:rPr>
                <w:rFonts w:ascii="Arial" w:hAnsi="Arial" w:cs="Arial"/>
                <w:bCs/>
                <w:color w:val="000000"/>
                <w:szCs w:val="20"/>
              </w:rPr>
              <w:t>0:1</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Blok válců</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Litinový</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Hlava válců</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Z hliníkové slitiny, s integrovaným sacím traktem a integrovanými kanály vysokotlaké recirkulace výfukových plynů</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Pohon vačkových hřídelí</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 xml:space="preserve">Řemenem máčeným v olejové lázni, s automatickým předpínačem poháněným </w:t>
            </w:r>
            <w:bookmarkStart w:id="9" w:name="_GoBack"/>
            <w:bookmarkEnd w:id="9"/>
            <w:r>
              <w:rPr>
                <w:rFonts w:ascii="Arial" w:hAnsi="Arial" w:cs="Arial"/>
                <w:bCs/>
                <w:color w:val="000000"/>
                <w:szCs w:val="20"/>
              </w:rPr>
              <w:t>klikov</w:t>
            </w:r>
            <w:r w:rsidR="000E7CDD">
              <w:rPr>
                <w:rFonts w:ascii="Arial" w:hAnsi="Arial" w:cs="Arial"/>
                <w:bCs/>
                <w:color w:val="000000"/>
                <w:szCs w:val="20"/>
              </w:rPr>
              <w:t>ou</w:t>
            </w:r>
            <w:r>
              <w:rPr>
                <w:rFonts w:ascii="Arial" w:hAnsi="Arial" w:cs="Arial"/>
                <w:bCs/>
                <w:color w:val="000000"/>
                <w:szCs w:val="20"/>
              </w:rPr>
              <w:t xml:space="preserve"> hřídel</w:t>
            </w:r>
            <w:r w:rsidR="000E7CDD">
              <w:rPr>
                <w:rFonts w:ascii="Arial" w:hAnsi="Arial" w:cs="Arial"/>
                <w:bCs/>
                <w:color w:val="000000"/>
                <w:szCs w:val="20"/>
              </w:rPr>
              <w:t>í</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Kliková hřídel</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Ocelový výkovek s indukčně kalenými kluznými plochami, 4 protizávaží, 5 hlavních ložisek</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Válce</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 xml:space="preserve">4 </w:t>
            </w:r>
            <w:r>
              <w:rPr>
                <w:rFonts w:ascii="Arial" w:hAnsi="Arial" w:cs="Arial"/>
                <w:bCs/>
                <w:color w:val="000000"/>
                <w:szCs w:val="20"/>
              </w:rPr>
              <w:t>v řadě</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Ventilový rozvod</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DOHC</w:t>
            </w:r>
            <w:r>
              <w:rPr>
                <w:rFonts w:ascii="Arial" w:hAnsi="Arial" w:cs="Arial"/>
                <w:bCs/>
                <w:color w:val="000000"/>
                <w:szCs w:val="20"/>
              </w:rPr>
              <w:t xml:space="preserve">, </w:t>
            </w:r>
            <w:r w:rsidRPr="008F301F">
              <w:rPr>
                <w:rFonts w:ascii="Arial" w:hAnsi="Arial" w:cs="Arial"/>
                <w:bCs/>
                <w:color w:val="000000"/>
                <w:szCs w:val="20"/>
              </w:rPr>
              <w:t xml:space="preserve">4 </w:t>
            </w:r>
            <w:r>
              <w:rPr>
                <w:rFonts w:ascii="Arial" w:hAnsi="Arial" w:cs="Arial"/>
                <w:bCs/>
                <w:color w:val="000000"/>
                <w:szCs w:val="20"/>
              </w:rPr>
              <w:t>ventily na válec</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Plnění</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 xml:space="preserve">Sekvenční přeplňování dvěma turbodmychadly; vysokotlaké turbodmychadlo s proměnnou geometrií, nízkotlaké turbodmychadlo </w:t>
            </w:r>
            <w:r>
              <w:rPr>
                <w:rFonts w:ascii="Arial" w:hAnsi="Arial" w:cs="Arial"/>
                <w:bCs/>
                <w:color w:val="000000"/>
                <w:szCs w:val="20"/>
              </w:rPr>
              <w:lastRenderedPageBreak/>
              <w:t>s pevnou geometrií a podtlakově aktivovaným obtokovým ventilem; pasivní ventil obtoku kompresoru, aktivní ventil obtoku turbíny, aktivovaný podtlakem; mezichladič stlačeného vzduchu</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lastRenderedPageBreak/>
              <w:t>Mazání</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Tlakové oběžné, olejové čerpadlo s proměnným průtokem</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Objem olejové náplně</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Počáteční náplň z výroby 8 litrů, servisní náplň (včetně filtru) 7,2 l</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Vodní čerpadlo</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Mechanicky poháněné; termostat s integrovaným snímačem teploty chladicí kapaliny</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Objem chladicí soustavy</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 xml:space="preserve">12 </w:t>
            </w:r>
            <w:r>
              <w:rPr>
                <w:rFonts w:ascii="Arial" w:hAnsi="Arial" w:cs="Arial"/>
                <w:bCs/>
                <w:color w:val="000000"/>
                <w:szCs w:val="20"/>
              </w:rPr>
              <w:t>litrů</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Řízení motoru</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Bosch FDEC</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Příprava směsi</w:t>
            </w:r>
          </w:p>
        </w:tc>
        <w:tc>
          <w:tcPr>
            <w:tcW w:w="6633" w:type="dxa"/>
            <w:shd w:val="clear" w:color="auto" w:fill="auto"/>
          </w:tcPr>
          <w:p w:rsidR="00257BFA" w:rsidRPr="008F301F" w:rsidRDefault="00257BFA" w:rsidP="00714E46">
            <w:pPr>
              <w:jc w:val="center"/>
              <w:rPr>
                <w:rFonts w:ascii="Arial" w:hAnsi="Arial" w:cs="Arial"/>
                <w:bCs/>
                <w:color w:val="000000"/>
                <w:szCs w:val="20"/>
              </w:rPr>
            </w:pPr>
            <w:r>
              <w:rPr>
                <w:rFonts w:ascii="Arial" w:hAnsi="Arial" w:cs="Arial"/>
                <w:bCs/>
                <w:color w:val="000000"/>
                <w:szCs w:val="20"/>
              </w:rPr>
              <w:t>Vysokotlaké přímé vstřikování common-rail s piezo vstřikovači</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Regulace škodlivin</w:t>
            </w:r>
          </w:p>
        </w:tc>
        <w:tc>
          <w:tcPr>
            <w:tcW w:w="6633" w:type="dxa"/>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Systém selektivní katalytické redukce</w:t>
            </w:r>
            <w:r w:rsidRPr="008F301F">
              <w:rPr>
                <w:rFonts w:ascii="Arial" w:hAnsi="Arial" w:cs="Arial"/>
                <w:color w:val="000000"/>
                <w:szCs w:val="20"/>
              </w:rPr>
              <w:t xml:space="preserve"> (SCR) </w:t>
            </w:r>
            <w:r>
              <w:rPr>
                <w:rFonts w:ascii="Arial" w:hAnsi="Arial" w:cs="Arial"/>
                <w:color w:val="000000"/>
                <w:szCs w:val="20"/>
              </w:rPr>
              <w:t>se vstřikováním aditiva na bázi močoviny; oxidační katalyzátor; filtr pevných částic s aktivní vrstvou</w:t>
            </w:r>
            <w:r w:rsidRPr="008F301F">
              <w:rPr>
                <w:rFonts w:ascii="Arial" w:hAnsi="Arial" w:cs="Arial"/>
                <w:color w:val="000000"/>
                <w:szCs w:val="20"/>
              </w:rPr>
              <w:t xml:space="preserve"> (cDPF)</w:t>
            </w:r>
            <w:r>
              <w:rPr>
                <w:rFonts w:ascii="Arial" w:hAnsi="Arial" w:cs="Arial"/>
                <w:color w:val="000000"/>
                <w:szCs w:val="20"/>
              </w:rPr>
              <w:t>; vodou chlazený systém vysokotlaké recirkulace výfukových plynů</w:t>
            </w:r>
            <w:r w:rsidRPr="008F301F">
              <w:rPr>
                <w:rFonts w:ascii="Arial" w:hAnsi="Arial" w:cs="Arial"/>
                <w:color w:val="000000"/>
                <w:szCs w:val="20"/>
              </w:rPr>
              <w:t xml:space="preserve"> (EGR) </w:t>
            </w:r>
            <w:r>
              <w:rPr>
                <w:rFonts w:ascii="Arial" w:hAnsi="Arial" w:cs="Arial"/>
                <w:color w:val="000000"/>
                <w:szCs w:val="20"/>
              </w:rPr>
              <w:t>s obtokem</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bCs/>
                <w:szCs w:val="20"/>
              </w:rPr>
            </w:pPr>
            <w:r>
              <w:rPr>
                <w:rFonts w:ascii="Arial" w:hAnsi="Arial" w:cs="Arial"/>
                <w:bCs/>
                <w:szCs w:val="20"/>
              </w:rPr>
              <w:t>Emisní třída</w:t>
            </w:r>
          </w:p>
        </w:tc>
        <w:tc>
          <w:tcPr>
            <w:tcW w:w="6633" w:type="dxa"/>
            <w:shd w:val="clear" w:color="auto" w:fill="auto"/>
          </w:tcPr>
          <w:p w:rsidR="00257BFA" w:rsidRPr="008F301F" w:rsidRDefault="00257BFA" w:rsidP="00714E46">
            <w:pPr>
              <w:tabs>
                <w:tab w:val="center" w:pos="4320"/>
                <w:tab w:val="right" w:pos="8640"/>
              </w:tabs>
              <w:overflowPunct w:val="0"/>
              <w:autoSpaceDE w:val="0"/>
              <w:autoSpaceDN w:val="0"/>
              <w:adjustRightInd w:val="0"/>
              <w:jc w:val="center"/>
              <w:textAlignment w:val="baseline"/>
              <w:rPr>
                <w:rFonts w:ascii="Arial" w:hAnsi="Arial" w:cs="Arial"/>
                <w:bCs/>
                <w:color w:val="000000"/>
                <w:szCs w:val="20"/>
              </w:rPr>
            </w:pPr>
            <w:r w:rsidRPr="008F301F">
              <w:rPr>
                <w:rFonts w:ascii="Arial" w:hAnsi="Arial" w:cs="Arial"/>
                <w:color w:val="000000"/>
                <w:szCs w:val="20"/>
              </w:rPr>
              <w:t>Euro 6</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szCs w:val="20"/>
              </w:rPr>
            </w:pPr>
            <w:r>
              <w:rPr>
                <w:rFonts w:ascii="Arial" w:hAnsi="Arial" w:cs="Arial"/>
                <w:szCs w:val="20"/>
              </w:rPr>
              <w:t>Převodovka</w:t>
            </w:r>
          </w:p>
        </w:tc>
        <w:tc>
          <w:tcPr>
            <w:tcW w:w="6633" w:type="dxa"/>
            <w:shd w:val="clear" w:color="auto" w:fill="auto"/>
            <w:vAlign w:val="center"/>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10</w:t>
            </w:r>
            <w:r>
              <w:rPr>
                <w:rFonts w:ascii="Arial" w:hAnsi="Arial" w:cs="Arial"/>
                <w:bCs/>
                <w:color w:val="000000"/>
                <w:szCs w:val="20"/>
              </w:rPr>
              <w:t>stupňová samočinná</w:t>
            </w:r>
          </w:p>
        </w:tc>
      </w:tr>
      <w:tr w:rsidR="00257BFA" w:rsidRPr="008F301F" w:rsidTr="00714E46">
        <w:trPr>
          <w:trHeight w:val="77"/>
        </w:trPr>
        <w:tc>
          <w:tcPr>
            <w:tcW w:w="2943" w:type="dxa"/>
            <w:shd w:val="clear" w:color="auto" w:fill="auto"/>
          </w:tcPr>
          <w:p w:rsidR="00257BFA" w:rsidRPr="008F301F" w:rsidRDefault="00257BFA" w:rsidP="00714E46">
            <w:pPr>
              <w:rPr>
                <w:rFonts w:ascii="Arial" w:hAnsi="Arial" w:cs="Arial"/>
                <w:szCs w:val="20"/>
              </w:rPr>
            </w:pPr>
            <w:r>
              <w:rPr>
                <w:rFonts w:ascii="Arial" w:hAnsi="Arial" w:cs="Arial"/>
                <w:szCs w:val="20"/>
              </w:rPr>
              <w:t>Převody</w:t>
            </w:r>
          </w:p>
        </w:tc>
        <w:tc>
          <w:tcPr>
            <w:tcW w:w="6633" w:type="dxa"/>
            <w:shd w:val="clear" w:color="auto" w:fill="auto"/>
            <w:vAlign w:val="center"/>
          </w:tcPr>
          <w:p w:rsidR="00257BFA" w:rsidRPr="008F301F" w:rsidRDefault="00257BFA" w:rsidP="00714E46">
            <w:pPr>
              <w:jc w:val="center"/>
              <w:rPr>
                <w:rFonts w:ascii="Arial" w:hAnsi="Arial" w:cs="Arial"/>
                <w:bCs/>
                <w:color w:val="000000"/>
                <w:szCs w:val="20"/>
              </w:rPr>
            </w:pPr>
          </w:p>
        </w:tc>
      </w:tr>
      <w:tr w:rsidR="00257BFA" w:rsidRPr="008F301F" w:rsidTr="00714E46">
        <w:trPr>
          <w:trHeight w:val="2366"/>
        </w:trPr>
        <w:tc>
          <w:tcPr>
            <w:tcW w:w="2943" w:type="dxa"/>
            <w:tcBorders>
              <w:bottom w:val="single" w:sz="4" w:space="0" w:color="auto"/>
            </w:tcBorders>
            <w:shd w:val="clear" w:color="auto" w:fill="auto"/>
            <w:vAlign w:val="center"/>
          </w:tcPr>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10</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9</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8</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7</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6</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5</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4</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3</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2</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sidRPr="008F301F">
              <w:rPr>
                <w:rFonts w:ascii="Arial" w:hAnsi="Arial" w:cs="Arial"/>
                <w:bCs/>
                <w:color w:val="000000"/>
                <w:szCs w:val="20"/>
              </w:rPr>
              <w:t>1</w:t>
            </w:r>
            <w:r>
              <w:rPr>
                <w:rFonts w:ascii="Arial" w:hAnsi="Arial" w:cs="Arial"/>
                <w:bCs/>
                <w:color w:val="000000"/>
                <w:szCs w:val="20"/>
              </w:rPr>
              <w:t>.</w:t>
            </w:r>
          </w:p>
          <w:p w:rsidR="00257BFA" w:rsidRPr="008F301F" w:rsidRDefault="00257BFA" w:rsidP="00714E46">
            <w:pPr>
              <w:jc w:val="right"/>
              <w:rPr>
                <w:rFonts w:ascii="Arial" w:hAnsi="Arial" w:cs="Arial"/>
                <w:bCs/>
                <w:color w:val="000000"/>
                <w:szCs w:val="20"/>
              </w:rPr>
            </w:pPr>
            <w:r>
              <w:rPr>
                <w:rFonts w:ascii="Arial" w:hAnsi="Arial" w:cs="Arial"/>
                <w:bCs/>
                <w:color w:val="000000"/>
                <w:szCs w:val="20"/>
              </w:rPr>
              <w:t>Zpětný chod</w:t>
            </w:r>
          </w:p>
        </w:tc>
        <w:tc>
          <w:tcPr>
            <w:tcW w:w="6633" w:type="dxa"/>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0</w:t>
            </w:r>
            <w:r>
              <w:rPr>
                <w:rFonts w:ascii="Arial" w:hAnsi="Arial" w:cs="Arial"/>
                <w:bCs/>
                <w:color w:val="000000"/>
                <w:szCs w:val="20"/>
              </w:rPr>
              <w:t>,</w:t>
            </w:r>
            <w:r w:rsidRPr="008F301F">
              <w:rPr>
                <w:rFonts w:ascii="Arial" w:hAnsi="Arial" w:cs="Arial"/>
                <w:bCs/>
                <w:color w:val="000000"/>
                <w:szCs w:val="20"/>
              </w:rPr>
              <w:t>636</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0</w:t>
            </w:r>
            <w:r>
              <w:rPr>
                <w:rFonts w:ascii="Arial" w:hAnsi="Arial" w:cs="Arial"/>
                <w:bCs/>
                <w:color w:val="000000"/>
                <w:szCs w:val="20"/>
              </w:rPr>
              <w:t>,</w:t>
            </w:r>
            <w:r w:rsidRPr="008F301F">
              <w:rPr>
                <w:rFonts w:ascii="Arial" w:hAnsi="Arial" w:cs="Arial"/>
                <w:bCs/>
                <w:color w:val="000000"/>
                <w:szCs w:val="20"/>
              </w:rPr>
              <w:t>689</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0</w:t>
            </w:r>
            <w:r>
              <w:rPr>
                <w:rFonts w:ascii="Arial" w:hAnsi="Arial" w:cs="Arial"/>
                <w:bCs/>
                <w:color w:val="000000"/>
                <w:szCs w:val="20"/>
              </w:rPr>
              <w:t>,</w:t>
            </w:r>
            <w:r w:rsidRPr="008F301F">
              <w:rPr>
                <w:rFonts w:ascii="Arial" w:hAnsi="Arial" w:cs="Arial"/>
                <w:bCs/>
                <w:color w:val="000000"/>
                <w:szCs w:val="20"/>
              </w:rPr>
              <w:t>854</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1</w:t>
            </w:r>
            <w:r>
              <w:rPr>
                <w:rFonts w:ascii="Arial" w:hAnsi="Arial" w:cs="Arial"/>
                <w:bCs/>
                <w:color w:val="000000"/>
                <w:szCs w:val="20"/>
              </w:rPr>
              <w:t>,</w:t>
            </w:r>
            <w:r w:rsidRPr="008F301F">
              <w:rPr>
                <w:rFonts w:ascii="Arial" w:hAnsi="Arial" w:cs="Arial"/>
                <w:bCs/>
                <w:color w:val="000000"/>
                <w:szCs w:val="20"/>
              </w:rPr>
              <w:t>000</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1</w:t>
            </w:r>
            <w:r>
              <w:rPr>
                <w:rFonts w:ascii="Arial" w:hAnsi="Arial" w:cs="Arial"/>
                <w:bCs/>
                <w:color w:val="000000"/>
                <w:szCs w:val="20"/>
              </w:rPr>
              <w:t>,</w:t>
            </w:r>
            <w:r w:rsidRPr="008F301F">
              <w:rPr>
                <w:rFonts w:ascii="Arial" w:hAnsi="Arial" w:cs="Arial"/>
                <w:bCs/>
                <w:color w:val="000000"/>
                <w:szCs w:val="20"/>
              </w:rPr>
              <w:t>275</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1</w:t>
            </w:r>
            <w:r>
              <w:rPr>
                <w:rFonts w:ascii="Arial" w:hAnsi="Arial" w:cs="Arial"/>
                <w:bCs/>
                <w:color w:val="000000"/>
                <w:szCs w:val="20"/>
              </w:rPr>
              <w:t>,</w:t>
            </w:r>
            <w:r w:rsidRPr="008F301F">
              <w:rPr>
                <w:rFonts w:ascii="Arial" w:hAnsi="Arial" w:cs="Arial"/>
                <w:bCs/>
                <w:color w:val="000000"/>
                <w:szCs w:val="20"/>
              </w:rPr>
              <w:t>520</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1</w:t>
            </w:r>
            <w:r>
              <w:rPr>
                <w:rFonts w:ascii="Arial" w:hAnsi="Arial" w:cs="Arial"/>
                <w:bCs/>
                <w:color w:val="000000"/>
                <w:szCs w:val="20"/>
              </w:rPr>
              <w:t>,</w:t>
            </w:r>
            <w:r w:rsidRPr="008F301F">
              <w:rPr>
                <w:rFonts w:ascii="Arial" w:hAnsi="Arial" w:cs="Arial"/>
                <w:bCs/>
                <w:color w:val="000000"/>
                <w:szCs w:val="20"/>
              </w:rPr>
              <w:t>769</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2</w:t>
            </w:r>
            <w:r>
              <w:rPr>
                <w:rFonts w:ascii="Arial" w:hAnsi="Arial" w:cs="Arial"/>
                <w:bCs/>
                <w:color w:val="000000"/>
                <w:szCs w:val="20"/>
              </w:rPr>
              <w:t>,</w:t>
            </w:r>
            <w:r w:rsidRPr="008F301F">
              <w:rPr>
                <w:rFonts w:ascii="Arial" w:hAnsi="Arial" w:cs="Arial"/>
                <w:bCs/>
                <w:color w:val="000000"/>
                <w:szCs w:val="20"/>
              </w:rPr>
              <w:t>146</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2</w:t>
            </w:r>
            <w:r>
              <w:rPr>
                <w:rFonts w:ascii="Arial" w:hAnsi="Arial" w:cs="Arial"/>
                <w:bCs/>
                <w:color w:val="000000"/>
                <w:szCs w:val="20"/>
              </w:rPr>
              <w:t>,</w:t>
            </w:r>
            <w:r w:rsidRPr="008F301F">
              <w:rPr>
                <w:rFonts w:ascii="Arial" w:hAnsi="Arial" w:cs="Arial"/>
                <w:bCs/>
                <w:color w:val="000000"/>
                <w:szCs w:val="20"/>
              </w:rPr>
              <w:t>985</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4</w:t>
            </w:r>
            <w:r>
              <w:rPr>
                <w:rFonts w:ascii="Arial" w:hAnsi="Arial" w:cs="Arial"/>
                <w:bCs/>
                <w:color w:val="000000"/>
                <w:szCs w:val="20"/>
              </w:rPr>
              <w:t>,</w:t>
            </w:r>
            <w:r w:rsidRPr="008F301F">
              <w:rPr>
                <w:rFonts w:ascii="Arial" w:hAnsi="Arial" w:cs="Arial"/>
                <w:bCs/>
                <w:color w:val="000000"/>
                <w:szCs w:val="20"/>
              </w:rPr>
              <w:t>696</w:t>
            </w:r>
          </w:p>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4</w:t>
            </w:r>
            <w:r>
              <w:rPr>
                <w:rFonts w:ascii="Arial" w:hAnsi="Arial" w:cs="Arial"/>
                <w:bCs/>
                <w:color w:val="000000"/>
                <w:szCs w:val="20"/>
              </w:rPr>
              <w:t>,</w:t>
            </w:r>
            <w:r w:rsidRPr="008F301F">
              <w:rPr>
                <w:rFonts w:ascii="Arial" w:hAnsi="Arial" w:cs="Arial"/>
                <w:bCs/>
                <w:color w:val="000000"/>
                <w:szCs w:val="20"/>
              </w:rPr>
              <w:t>866</w:t>
            </w:r>
          </w:p>
        </w:tc>
      </w:tr>
      <w:tr w:rsidR="00257BFA" w:rsidRPr="008F301F" w:rsidTr="00714E46">
        <w:tc>
          <w:tcPr>
            <w:tcW w:w="2943" w:type="dxa"/>
            <w:shd w:val="clear" w:color="auto" w:fill="auto"/>
            <w:vAlign w:val="center"/>
          </w:tcPr>
          <w:p w:rsidR="00257BFA" w:rsidRPr="008F301F" w:rsidRDefault="00257BFA" w:rsidP="00714E46">
            <w:pPr>
              <w:rPr>
                <w:rFonts w:ascii="Arial" w:hAnsi="Arial" w:cs="Arial"/>
                <w:bCs/>
                <w:color w:val="000000"/>
                <w:szCs w:val="20"/>
              </w:rPr>
            </w:pPr>
            <w:r>
              <w:rPr>
                <w:rFonts w:ascii="Arial" w:hAnsi="Arial" w:cs="Arial"/>
                <w:bCs/>
                <w:color w:val="000000"/>
                <w:szCs w:val="20"/>
              </w:rPr>
              <w:t>Stálý převod</w:t>
            </w:r>
          </w:p>
        </w:tc>
        <w:tc>
          <w:tcPr>
            <w:tcW w:w="6633" w:type="dxa"/>
            <w:shd w:val="clear" w:color="auto" w:fill="auto"/>
            <w:vAlign w:val="center"/>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3</w:t>
            </w:r>
            <w:r>
              <w:rPr>
                <w:rFonts w:ascii="Arial" w:hAnsi="Arial" w:cs="Arial"/>
                <w:bCs/>
                <w:color w:val="000000"/>
                <w:szCs w:val="20"/>
              </w:rPr>
              <w:t>,</w:t>
            </w:r>
            <w:r w:rsidRPr="008F301F">
              <w:rPr>
                <w:rFonts w:ascii="Arial" w:hAnsi="Arial" w:cs="Arial"/>
                <w:bCs/>
                <w:color w:val="000000"/>
                <w:szCs w:val="20"/>
              </w:rPr>
              <w:t>73:1</w:t>
            </w:r>
          </w:p>
        </w:tc>
      </w:tr>
      <w:tr w:rsidR="00257BFA" w:rsidRPr="008F301F" w:rsidTr="00714E46">
        <w:tc>
          <w:tcPr>
            <w:tcW w:w="2943" w:type="dxa"/>
            <w:tcBorders>
              <w:bottom w:val="single" w:sz="4" w:space="0" w:color="auto"/>
            </w:tcBorders>
            <w:shd w:val="clear" w:color="auto" w:fill="auto"/>
            <w:vAlign w:val="center"/>
          </w:tcPr>
          <w:p w:rsidR="00257BFA" w:rsidRPr="008F301F" w:rsidRDefault="00257BFA" w:rsidP="00714E46">
            <w:pPr>
              <w:rPr>
                <w:rFonts w:ascii="Arial" w:hAnsi="Arial" w:cs="Arial"/>
                <w:bCs/>
                <w:color w:val="000000"/>
                <w:szCs w:val="20"/>
              </w:rPr>
            </w:pPr>
            <w:r>
              <w:rPr>
                <w:rFonts w:ascii="Arial" w:hAnsi="Arial" w:cs="Arial"/>
                <w:bCs/>
                <w:color w:val="000000"/>
                <w:szCs w:val="20"/>
              </w:rPr>
              <w:t>Redukovaný převod</w:t>
            </w:r>
          </w:p>
        </w:tc>
        <w:tc>
          <w:tcPr>
            <w:tcW w:w="6633" w:type="dxa"/>
            <w:shd w:val="clear" w:color="auto" w:fill="auto"/>
            <w:vAlign w:val="center"/>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2</w:t>
            </w:r>
            <w:r>
              <w:rPr>
                <w:rFonts w:ascii="Arial" w:hAnsi="Arial" w:cs="Arial"/>
                <w:bCs/>
                <w:color w:val="000000"/>
                <w:szCs w:val="20"/>
              </w:rPr>
              <w:t>,</w:t>
            </w:r>
            <w:r w:rsidRPr="008F301F">
              <w:rPr>
                <w:rFonts w:ascii="Arial" w:hAnsi="Arial" w:cs="Arial"/>
                <w:bCs/>
                <w:color w:val="000000"/>
                <w:szCs w:val="20"/>
              </w:rPr>
              <w:t>72:1</w:t>
            </w:r>
          </w:p>
        </w:tc>
      </w:tr>
    </w:tbl>
    <w:p w:rsidR="00257BFA" w:rsidRPr="008F301F" w:rsidRDefault="00257BFA" w:rsidP="00257BFA">
      <w:pPr>
        <w:rPr>
          <w:rFonts w:ascii="Arial" w:hAnsi="Arial" w:cs="Arial"/>
          <w:color w:val="000000"/>
          <w:szCs w:val="20"/>
        </w:rPr>
      </w:pPr>
    </w:p>
    <w:p w:rsidR="00257BFA" w:rsidRPr="008F301F" w:rsidRDefault="00257BFA" w:rsidP="00257BFA">
      <w:pPr>
        <w:rPr>
          <w:rFonts w:ascii="Arial" w:hAnsi="Arial" w:cs="Arial"/>
          <w:szCs w:val="20"/>
        </w:rPr>
      </w:pPr>
    </w:p>
    <w:p w:rsidR="00257BFA" w:rsidRPr="008F301F" w:rsidRDefault="00257BFA" w:rsidP="00257BFA">
      <w:pPr>
        <w:rPr>
          <w:rFonts w:ascii="Arial" w:hAnsi="Arial" w:cs="Arial"/>
          <w:b/>
          <w:szCs w:val="20"/>
          <w:u w:val="single"/>
        </w:rPr>
      </w:pPr>
      <w:r>
        <w:rPr>
          <w:rFonts w:ascii="Arial" w:hAnsi="Arial" w:cs="Arial"/>
          <w:b/>
          <w:szCs w:val="20"/>
          <w:u w:val="single"/>
        </w:rPr>
        <w:t xml:space="preserve">POHON </w:t>
      </w:r>
      <w:r w:rsidRPr="008F301F">
        <w:rPr>
          <w:rFonts w:ascii="Arial" w:hAnsi="Arial" w:cs="Arial"/>
          <w:b/>
          <w:szCs w:val="20"/>
          <w:u w:val="single"/>
        </w:rPr>
        <w:t xml:space="preserve">4X4 </w:t>
      </w:r>
    </w:p>
    <w:p w:rsidR="00257BFA" w:rsidRPr="008F301F" w:rsidRDefault="00257BFA" w:rsidP="00257BFA">
      <w:pPr>
        <w:rPr>
          <w:rFonts w:ascii="Arial" w:hAnsi="Arial" w:cs="Arial"/>
          <w:b/>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853"/>
      </w:tblGrid>
      <w:tr w:rsidR="00257BFA" w:rsidRPr="008F301F" w:rsidTr="00714E46">
        <w:trPr>
          <w:trHeight w:val="151"/>
        </w:trPr>
        <w:tc>
          <w:tcPr>
            <w:tcW w:w="1710" w:type="pct"/>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Koncepce</w:t>
            </w:r>
          </w:p>
        </w:tc>
        <w:tc>
          <w:tcPr>
            <w:tcW w:w="3290" w:type="pct"/>
            <w:shd w:val="clear" w:color="auto" w:fill="auto"/>
          </w:tcPr>
          <w:p w:rsidR="00257BFA" w:rsidRPr="008F301F" w:rsidRDefault="00257BFA" w:rsidP="00714E46">
            <w:pPr>
              <w:tabs>
                <w:tab w:val="center" w:pos="4320"/>
                <w:tab w:val="right" w:pos="8640"/>
              </w:tabs>
              <w:overflowPunct w:val="0"/>
              <w:autoSpaceDE w:val="0"/>
              <w:autoSpaceDN w:val="0"/>
              <w:adjustRightInd w:val="0"/>
              <w:textAlignment w:val="baseline"/>
              <w:rPr>
                <w:rFonts w:ascii="Arial" w:hAnsi="Arial" w:cs="Arial"/>
                <w:bCs/>
                <w:szCs w:val="20"/>
              </w:rPr>
            </w:pPr>
            <w:r>
              <w:rPr>
                <w:rFonts w:ascii="Arial" w:hAnsi="Arial" w:cs="Arial"/>
                <w:bCs/>
                <w:szCs w:val="20"/>
              </w:rPr>
              <w:t>Přepínatelný pohon všech kol s elektronicky ovládanou přídavnou převodovkou:</w:t>
            </w:r>
            <w:r w:rsidRPr="008F301F">
              <w:rPr>
                <w:rFonts w:ascii="Arial" w:hAnsi="Arial" w:cs="Arial"/>
                <w:bCs/>
                <w:szCs w:val="20"/>
              </w:rPr>
              <w:br/>
            </w:r>
            <w:r>
              <w:rPr>
                <w:rFonts w:ascii="Arial" w:hAnsi="Arial" w:cs="Arial"/>
                <w:bCs/>
                <w:szCs w:val="20"/>
              </w:rPr>
              <w:t>pohon zadních kol, standardní převod</w:t>
            </w:r>
            <w:r w:rsidRPr="008F301F">
              <w:rPr>
                <w:rFonts w:ascii="Arial" w:hAnsi="Arial" w:cs="Arial"/>
                <w:bCs/>
                <w:szCs w:val="20"/>
              </w:rPr>
              <w:t xml:space="preserve"> (2H)</w:t>
            </w:r>
          </w:p>
          <w:p w:rsidR="00257BFA" w:rsidRPr="008F301F" w:rsidRDefault="00257BFA" w:rsidP="00714E46">
            <w:pPr>
              <w:tabs>
                <w:tab w:val="center" w:pos="4320"/>
                <w:tab w:val="right" w:pos="8640"/>
              </w:tabs>
              <w:overflowPunct w:val="0"/>
              <w:autoSpaceDE w:val="0"/>
              <w:autoSpaceDN w:val="0"/>
              <w:adjustRightInd w:val="0"/>
              <w:textAlignment w:val="baseline"/>
              <w:rPr>
                <w:rFonts w:ascii="Arial" w:hAnsi="Arial" w:cs="Arial"/>
                <w:bCs/>
                <w:szCs w:val="20"/>
              </w:rPr>
            </w:pPr>
            <w:r>
              <w:rPr>
                <w:rFonts w:ascii="Arial" w:hAnsi="Arial" w:cs="Arial"/>
                <w:bCs/>
                <w:szCs w:val="20"/>
              </w:rPr>
              <w:t>pohon všech kol, standardní převod</w:t>
            </w:r>
            <w:r w:rsidRPr="008F301F">
              <w:rPr>
                <w:rFonts w:ascii="Arial" w:hAnsi="Arial" w:cs="Arial"/>
                <w:bCs/>
                <w:szCs w:val="20"/>
              </w:rPr>
              <w:t xml:space="preserve"> (4H)</w:t>
            </w:r>
          </w:p>
          <w:p w:rsidR="00257BFA" w:rsidRPr="008F301F" w:rsidRDefault="00257BFA" w:rsidP="00714E46">
            <w:pPr>
              <w:tabs>
                <w:tab w:val="center" w:pos="4320"/>
                <w:tab w:val="right" w:pos="8640"/>
              </w:tabs>
              <w:overflowPunct w:val="0"/>
              <w:autoSpaceDE w:val="0"/>
              <w:autoSpaceDN w:val="0"/>
              <w:adjustRightInd w:val="0"/>
              <w:textAlignment w:val="baseline"/>
              <w:rPr>
                <w:rFonts w:ascii="Arial" w:hAnsi="Arial" w:cs="Arial"/>
                <w:bCs/>
                <w:szCs w:val="20"/>
              </w:rPr>
            </w:pPr>
            <w:r>
              <w:rPr>
                <w:rFonts w:ascii="Arial" w:hAnsi="Arial" w:cs="Arial"/>
                <w:bCs/>
                <w:szCs w:val="20"/>
              </w:rPr>
              <w:t>pohon všech kol, redukovaný převod</w:t>
            </w:r>
            <w:r w:rsidRPr="008F301F">
              <w:rPr>
                <w:rFonts w:ascii="Arial" w:hAnsi="Arial" w:cs="Arial"/>
                <w:bCs/>
                <w:szCs w:val="20"/>
              </w:rPr>
              <w:t xml:space="preserve"> (4L)</w:t>
            </w:r>
          </w:p>
        </w:tc>
      </w:tr>
      <w:tr w:rsidR="00257BFA" w:rsidRPr="008F301F" w:rsidTr="00714E46">
        <w:tc>
          <w:tcPr>
            <w:tcW w:w="1710" w:type="pct"/>
            <w:shd w:val="clear" w:color="auto" w:fill="auto"/>
          </w:tcPr>
          <w:p w:rsidR="00257BFA" w:rsidRPr="008F301F" w:rsidRDefault="00257BFA" w:rsidP="00714E46">
            <w:pPr>
              <w:rPr>
                <w:rFonts w:ascii="Arial" w:hAnsi="Arial" w:cs="Arial"/>
                <w:color w:val="000000"/>
                <w:szCs w:val="20"/>
              </w:rPr>
            </w:pPr>
            <w:r w:rsidRPr="008F301F">
              <w:rPr>
                <w:rFonts w:ascii="Arial" w:hAnsi="Arial" w:cs="Arial"/>
                <w:color w:val="000000"/>
                <w:szCs w:val="20"/>
              </w:rPr>
              <w:t>Terrain Management System</w:t>
            </w:r>
          </w:p>
        </w:tc>
        <w:tc>
          <w:tcPr>
            <w:tcW w:w="3290" w:type="pct"/>
            <w:shd w:val="clear" w:color="auto" w:fill="auto"/>
          </w:tcPr>
          <w:p w:rsidR="00257BFA" w:rsidRPr="008F301F" w:rsidRDefault="00257BFA" w:rsidP="00714E46">
            <w:pPr>
              <w:tabs>
                <w:tab w:val="center" w:pos="4320"/>
                <w:tab w:val="right" w:pos="8640"/>
              </w:tabs>
              <w:overflowPunct w:val="0"/>
              <w:autoSpaceDE w:val="0"/>
              <w:autoSpaceDN w:val="0"/>
              <w:adjustRightInd w:val="0"/>
              <w:textAlignment w:val="baseline"/>
              <w:rPr>
                <w:rFonts w:ascii="Arial" w:hAnsi="Arial" w:cs="Arial"/>
                <w:bCs/>
                <w:color w:val="000000"/>
                <w:szCs w:val="20"/>
              </w:rPr>
            </w:pPr>
            <w:r>
              <w:rPr>
                <w:rFonts w:ascii="Arial" w:hAnsi="Arial" w:cs="Arial"/>
                <w:bCs/>
                <w:color w:val="000000"/>
                <w:szCs w:val="20"/>
              </w:rPr>
              <w:t>Šest přepínatelných režimů</w:t>
            </w:r>
            <w:r w:rsidRPr="008F301F">
              <w:rPr>
                <w:rFonts w:ascii="Arial" w:hAnsi="Arial" w:cs="Arial"/>
                <w:bCs/>
                <w:color w:val="000000"/>
                <w:szCs w:val="20"/>
              </w:rPr>
              <w:t xml:space="preserve">: Normal, Sport, </w:t>
            </w:r>
            <w:r>
              <w:rPr>
                <w:rFonts w:ascii="Arial" w:hAnsi="Arial" w:cs="Arial"/>
                <w:bCs/>
                <w:color w:val="000000"/>
                <w:szCs w:val="20"/>
              </w:rPr>
              <w:t>Tráva/Šotolina</w:t>
            </w:r>
            <w:r w:rsidRPr="008F301F">
              <w:rPr>
                <w:rFonts w:ascii="Arial" w:hAnsi="Arial" w:cs="Arial"/>
                <w:bCs/>
                <w:color w:val="000000"/>
                <w:szCs w:val="20"/>
              </w:rPr>
              <w:t xml:space="preserve">, </w:t>
            </w:r>
            <w:r>
              <w:rPr>
                <w:rFonts w:ascii="Arial" w:hAnsi="Arial" w:cs="Arial"/>
                <w:bCs/>
                <w:color w:val="000000"/>
                <w:szCs w:val="20"/>
              </w:rPr>
              <w:t>Sníh</w:t>
            </w:r>
            <w:r w:rsidRPr="008F301F">
              <w:rPr>
                <w:rFonts w:ascii="Arial" w:hAnsi="Arial" w:cs="Arial"/>
                <w:bCs/>
                <w:color w:val="000000"/>
                <w:szCs w:val="20"/>
              </w:rPr>
              <w:t xml:space="preserve">, </w:t>
            </w:r>
            <w:r>
              <w:rPr>
                <w:rFonts w:ascii="Arial" w:hAnsi="Arial" w:cs="Arial"/>
                <w:bCs/>
                <w:color w:val="000000"/>
                <w:szCs w:val="20"/>
              </w:rPr>
              <w:t>Bláto/Písek</w:t>
            </w:r>
            <w:r w:rsidRPr="008F301F">
              <w:rPr>
                <w:rFonts w:ascii="Arial" w:hAnsi="Arial" w:cs="Arial"/>
                <w:bCs/>
                <w:color w:val="000000"/>
                <w:szCs w:val="20"/>
              </w:rPr>
              <w:t xml:space="preserve">, Baja, </w:t>
            </w:r>
            <w:r>
              <w:rPr>
                <w:rFonts w:ascii="Arial" w:hAnsi="Arial" w:cs="Arial"/>
                <w:bCs/>
                <w:color w:val="000000"/>
                <w:szCs w:val="20"/>
              </w:rPr>
              <w:t>Kamení</w:t>
            </w:r>
          </w:p>
        </w:tc>
      </w:tr>
    </w:tbl>
    <w:p w:rsidR="00257BFA" w:rsidRDefault="00257BFA" w:rsidP="00257BFA">
      <w:pPr>
        <w:rPr>
          <w:rFonts w:ascii="Arial" w:hAnsi="Arial" w:cs="Arial"/>
          <w:szCs w:val="20"/>
        </w:rPr>
      </w:pPr>
    </w:p>
    <w:p w:rsidR="00257BFA" w:rsidRPr="008F301F" w:rsidRDefault="00257BFA" w:rsidP="00257BFA">
      <w:pPr>
        <w:rPr>
          <w:rFonts w:ascii="Arial" w:hAnsi="Arial" w:cs="Arial"/>
          <w:szCs w:val="20"/>
        </w:rPr>
      </w:pPr>
      <w:r w:rsidRPr="00CB29C5">
        <w:rPr>
          <w:rFonts w:ascii="Arial" w:hAnsi="Arial" w:cs="Arial"/>
          <w:szCs w:val="20"/>
        </w:rPr>
        <w:br w:type="page"/>
      </w:r>
    </w:p>
    <w:p w:rsidR="00257BFA" w:rsidRPr="008F301F" w:rsidRDefault="00257BFA" w:rsidP="00257BFA">
      <w:pPr>
        <w:rPr>
          <w:rFonts w:ascii="Arial" w:hAnsi="Arial" w:cs="Arial"/>
          <w:b/>
          <w:bCs/>
          <w:szCs w:val="20"/>
          <w:u w:val="single"/>
        </w:rPr>
      </w:pPr>
      <w:r>
        <w:rPr>
          <w:rFonts w:ascii="Arial" w:hAnsi="Arial" w:cs="Arial"/>
          <w:b/>
          <w:bCs/>
          <w:szCs w:val="20"/>
          <w:u w:val="single"/>
        </w:rPr>
        <w:lastRenderedPageBreak/>
        <w:t>ROZMĚRY A HMOTNOSTI</w:t>
      </w:r>
    </w:p>
    <w:p w:rsidR="00257BFA" w:rsidRPr="008F301F" w:rsidRDefault="00257BFA" w:rsidP="00257BFA">
      <w:pPr>
        <w:rPr>
          <w:rFonts w:ascii="Arial" w:hAnsi="Arial" w:cs="Arial"/>
          <w:b/>
          <w:bCs/>
          <w:szCs w:val="20"/>
          <w:u w:val="single"/>
        </w:rPr>
      </w:pPr>
    </w:p>
    <w:p w:rsidR="00257BFA" w:rsidRPr="008F301F" w:rsidRDefault="00257BFA" w:rsidP="00257BFA">
      <w:pPr>
        <w:rPr>
          <w:rFonts w:ascii="Arial" w:hAnsi="Arial" w:cs="Arial"/>
          <w:b/>
          <w:bCs/>
          <w:szCs w:val="20"/>
          <w:u w:val="single"/>
        </w:rPr>
      </w:pPr>
    </w:p>
    <w:tbl>
      <w:tblPr>
        <w:tblpPr w:leftFromText="180" w:rightFromText="180" w:vertAnchor="text" w:horzAnchor="margin" w:tblpY="-34"/>
        <w:tblW w:w="9606" w:type="dxa"/>
        <w:tblLook w:val="01E0" w:firstRow="1" w:lastRow="1" w:firstColumn="1" w:lastColumn="1" w:noHBand="0" w:noVBand="0"/>
      </w:tblPr>
      <w:tblGrid>
        <w:gridCol w:w="5353"/>
        <w:gridCol w:w="4253"/>
      </w:tblGrid>
      <w:tr w:rsidR="00257BFA" w:rsidRPr="008F301F" w:rsidTr="00714E46">
        <w:trPr>
          <w:cantSplit/>
        </w:trPr>
        <w:tc>
          <w:tcPr>
            <w:tcW w:w="5353" w:type="dxa"/>
            <w:tcBorders>
              <w:top w:val="single" w:sz="4"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b/>
                <w:bCs/>
                <w:szCs w:val="20"/>
              </w:rPr>
            </w:pPr>
            <w:r>
              <w:rPr>
                <w:rFonts w:ascii="Arial" w:hAnsi="Arial" w:cs="Arial"/>
                <w:b/>
                <w:bCs/>
                <w:szCs w:val="20"/>
              </w:rPr>
              <w:t>Vnější</w:t>
            </w:r>
            <w:r w:rsidRPr="008F301F">
              <w:rPr>
                <w:rFonts w:ascii="Arial" w:hAnsi="Arial" w:cs="Arial"/>
                <w:b/>
                <w:bCs/>
                <w:szCs w:val="20"/>
              </w:rPr>
              <w:t xml:space="preserve"> (mm)</w:t>
            </w:r>
          </w:p>
        </w:tc>
        <w:tc>
          <w:tcPr>
            <w:tcW w:w="4253" w:type="dxa"/>
            <w:tcBorders>
              <w:top w:val="single" w:sz="4"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bCs/>
                <w:szCs w:val="20"/>
              </w:rPr>
            </w:pP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Celková délka včetně/bez tažného zařízení</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5</w:t>
            </w:r>
            <w:r>
              <w:rPr>
                <w:rFonts w:ascii="Arial" w:hAnsi="Arial" w:cs="Arial"/>
                <w:color w:val="000000"/>
                <w:szCs w:val="20"/>
              </w:rPr>
              <w:t xml:space="preserve"> </w:t>
            </w:r>
            <w:r w:rsidRPr="008F301F">
              <w:rPr>
                <w:rFonts w:ascii="Arial" w:hAnsi="Arial" w:cs="Arial"/>
                <w:color w:val="000000"/>
                <w:szCs w:val="20"/>
              </w:rPr>
              <w:t>374 / 5</w:t>
            </w:r>
            <w:r>
              <w:rPr>
                <w:rFonts w:ascii="Arial" w:hAnsi="Arial" w:cs="Arial"/>
                <w:color w:val="000000"/>
                <w:szCs w:val="20"/>
              </w:rPr>
              <w:t xml:space="preserve"> </w:t>
            </w:r>
            <w:r w:rsidRPr="008F301F">
              <w:rPr>
                <w:rFonts w:ascii="Arial" w:hAnsi="Arial" w:cs="Arial"/>
                <w:color w:val="000000"/>
                <w:szCs w:val="20"/>
              </w:rPr>
              <w:t xml:space="preserve">363 </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Celková šířka včetně zrcátek</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2</w:t>
            </w:r>
            <w:r>
              <w:rPr>
                <w:rFonts w:ascii="Arial" w:hAnsi="Arial" w:cs="Arial"/>
                <w:color w:val="000000"/>
                <w:szCs w:val="20"/>
              </w:rPr>
              <w:t xml:space="preserve"> </w:t>
            </w:r>
            <w:r w:rsidRPr="008F301F">
              <w:rPr>
                <w:rFonts w:ascii="Arial" w:hAnsi="Arial" w:cs="Arial"/>
                <w:color w:val="000000"/>
                <w:szCs w:val="20"/>
              </w:rPr>
              <w:t>180</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Celková šířka bez zrcátek</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2</w:t>
            </w:r>
            <w:r>
              <w:rPr>
                <w:rFonts w:ascii="Arial" w:hAnsi="Arial" w:cs="Arial"/>
                <w:color w:val="000000"/>
                <w:szCs w:val="20"/>
              </w:rPr>
              <w:t xml:space="preserve"> </w:t>
            </w:r>
            <w:r w:rsidRPr="008F301F">
              <w:rPr>
                <w:rFonts w:ascii="Arial" w:hAnsi="Arial" w:cs="Arial"/>
                <w:color w:val="000000"/>
                <w:szCs w:val="20"/>
              </w:rPr>
              <w:t>028</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Celková výška</w:t>
            </w:r>
            <w:r w:rsidRPr="008F301F">
              <w:rPr>
                <w:rFonts w:ascii="Arial" w:hAnsi="Arial" w:cs="Arial"/>
                <w:color w:val="000000"/>
                <w:szCs w:val="20"/>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873</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Rozvor náprav</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3</w:t>
            </w:r>
            <w:r>
              <w:rPr>
                <w:rFonts w:ascii="Arial" w:hAnsi="Arial" w:cs="Arial"/>
                <w:color w:val="000000"/>
                <w:szCs w:val="20"/>
              </w:rPr>
              <w:t xml:space="preserve"> </w:t>
            </w:r>
            <w:r w:rsidRPr="008F301F">
              <w:rPr>
                <w:rFonts w:ascii="Arial" w:hAnsi="Arial" w:cs="Arial"/>
                <w:color w:val="000000"/>
                <w:szCs w:val="20"/>
              </w:rPr>
              <w:t>220</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Světlá výška nezatíženého vozu</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283</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Brodivost</w:t>
            </w:r>
            <w:r w:rsidRPr="008F301F">
              <w:rPr>
                <w:rFonts w:ascii="Arial" w:hAnsi="Arial" w:cs="Arial"/>
                <w:color w:val="000000"/>
                <w:szCs w:val="20"/>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850</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Rozchod kol vpředu</w:t>
            </w:r>
            <w:r w:rsidRPr="008F301F">
              <w:rPr>
                <w:rFonts w:ascii="Arial" w:hAnsi="Arial" w:cs="Arial"/>
                <w:color w:val="000000"/>
                <w:szCs w:val="20"/>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710</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Rozchod kol vzadu</w:t>
            </w:r>
            <w:r w:rsidRPr="008F301F">
              <w:rPr>
                <w:rFonts w:ascii="Arial" w:hAnsi="Arial" w:cs="Arial"/>
                <w:color w:val="000000"/>
                <w:szCs w:val="20"/>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710</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Přední převis</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908</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Zadní převis včetně/bez tažného zařízení</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246 /1</w:t>
            </w:r>
            <w:r>
              <w:rPr>
                <w:rFonts w:ascii="Arial" w:hAnsi="Arial" w:cs="Arial"/>
                <w:color w:val="000000"/>
                <w:szCs w:val="20"/>
              </w:rPr>
              <w:t xml:space="preserve"> </w:t>
            </w:r>
            <w:r w:rsidRPr="008F301F">
              <w:rPr>
                <w:rFonts w:ascii="Arial" w:hAnsi="Arial" w:cs="Arial"/>
                <w:color w:val="000000"/>
                <w:szCs w:val="20"/>
              </w:rPr>
              <w:t>235</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
                <w:bCs/>
                <w:color w:val="000000"/>
                <w:szCs w:val="20"/>
              </w:rPr>
            </w:pPr>
            <w:r>
              <w:rPr>
                <w:rFonts w:ascii="Arial" w:hAnsi="Arial" w:cs="Arial"/>
                <w:b/>
                <w:bCs/>
                <w:color w:val="000000"/>
                <w:szCs w:val="20"/>
              </w:rPr>
              <w:t>Průchodnost terénem</w:t>
            </w:r>
            <w:r w:rsidRPr="008F301F">
              <w:rPr>
                <w:rFonts w:ascii="Arial" w:hAnsi="Arial" w:cs="Arial"/>
                <w:b/>
                <w:bCs/>
                <w:color w:val="000000"/>
                <w:szCs w:val="20"/>
              </w:rPr>
              <w:t xml:space="preserve"> (</w:t>
            </w:r>
            <w:r>
              <w:rPr>
                <w:rFonts w:ascii="Arial" w:hAnsi="Arial" w:cs="Arial"/>
                <w:b/>
                <w:bCs/>
                <w:color w:val="000000"/>
                <w:szCs w:val="20"/>
              </w:rPr>
              <w:t>°</w:t>
            </w:r>
            <w:r w:rsidRPr="008F301F">
              <w:rPr>
                <w:rFonts w:ascii="Arial" w:hAnsi="Arial" w:cs="Arial"/>
                <w:b/>
                <w:bCs/>
                <w:color w:val="000000"/>
                <w:szCs w:val="20"/>
              </w:rPr>
              <w:t>)</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b/>
                <w:bCs/>
                <w:color w:val="000000"/>
                <w:szCs w:val="20"/>
              </w:rPr>
            </w:pP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Nájezdový úhel vpředu</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32.5°</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Nájezdový úhel vzadu</w:t>
            </w:r>
            <w:r w:rsidRPr="008F301F">
              <w:rPr>
                <w:rFonts w:ascii="Arial" w:hAnsi="Arial" w:cs="Arial"/>
                <w:bCs/>
                <w:color w:val="000000"/>
                <w:szCs w:val="20"/>
              </w:rPr>
              <w:t xml:space="preserve"> </w:t>
            </w:r>
            <w:r>
              <w:rPr>
                <w:rFonts w:ascii="Arial" w:hAnsi="Arial" w:cs="Arial"/>
                <w:color w:val="000000"/>
                <w:szCs w:val="20"/>
              </w:rPr>
              <w:t>včetně/bez tažného zařízení</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24 / 27°</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Přechodový úhel</w:t>
            </w:r>
            <w:r w:rsidRPr="008F301F">
              <w:rPr>
                <w:rFonts w:ascii="Arial" w:hAnsi="Arial" w:cs="Arial"/>
                <w:bCs/>
                <w:color w:val="000000"/>
                <w:szCs w:val="20"/>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bCs/>
                <w:color w:val="000000"/>
                <w:szCs w:val="20"/>
              </w:rPr>
            </w:pPr>
            <w:r w:rsidRPr="008F301F">
              <w:rPr>
                <w:rFonts w:ascii="Arial" w:hAnsi="Arial" w:cs="Arial"/>
                <w:bCs/>
                <w:color w:val="000000"/>
                <w:szCs w:val="20"/>
              </w:rPr>
              <w:t>25° / 24°</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
                <w:bCs/>
                <w:color w:val="000000"/>
                <w:szCs w:val="20"/>
              </w:rPr>
            </w:pPr>
            <w:r>
              <w:rPr>
                <w:rFonts w:ascii="Arial" w:hAnsi="Arial" w:cs="Arial"/>
                <w:b/>
                <w:bCs/>
                <w:color w:val="000000"/>
                <w:szCs w:val="20"/>
              </w:rPr>
              <w:t>První řada sedadel</w:t>
            </w:r>
            <w:r w:rsidRPr="008F301F">
              <w:rPr>
                <w:rFonts w:ascii="Arial" w:hAnsi="Arial" w:cs="Arial"/>
                <w:b/>
                <w:bCs/>
                <w:color w:val="000000"/>
                <w:szCs w:val="20"/>
              </w:rPr>
              <w:t xml:space="preserve"> (mm)</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b/>
                <w:bCs/>
                <w:color w:val="000000"/>
                <w:szCs w:val="20"/>
              </w:rPr>
            </w:pP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bCs/>
                <w:color w:val="000000"/>
                <w:szCs w:val="20"/>
              </w:rPr>
            </w:pPr>
            <w:r>
              <w:rPr>
                <w:rFonts w:ascii="Arial" w:hAnsi="Arial" w:cs="Arial"/>
                <w:bCs/>
                <w:color w:val="000000"/>
                <w:szCs w:val="20"/>
              </w:rPr>
              <w:t>Prostor pro hlavu</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022</w:t>
            </w:r>
          </w:p>
        </w:tc>
      </w:tr>
      <w:tr w:rsidR="00257BFA" w:rsidRPr="008F301F" w:rsidTr="00714E46">
        <w:trPr>
          <w:cantSplit/>
          <w:trHeight w:val="225"/>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Maximální prostor pro nohy</w:t>
            </w:r>
            <w:r w:rsidRPr="008F301F">
              <w:rPr>
                <w:rFonts w:ascii="Arial" w:hAnsi="Arial" w:cs="Arial"/>
                <w:color w:val="000000"/>
                <w:szCs w:val="20"/>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116</w:t>
            </w:r>
          </w:p>
        </w:tc>
      </w:tr>
      <w:tr w:rsidR="00257BFA" w:rsidRPr="008F301F" w:rsidTr="00714E46">
        <w:trPr>
          <w:cantSplit/>
          <w:trHeight w:val="225"/>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Šířka v úrovni ramen</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355</w:t>
            </w:r>
          </w:p>
        </w:tc>
      </w:tr>
      <w:tr w:rsidR="00257BFA" w:rsidRPr="008F301F" w:rsidTr="00714E46">
        <w:trPr>
          <w:cantSplit/>
          <w:trHeight w:val="225"/>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
                <w:color w:val="000000"/>
                <w:szCs w:val="20"/>
              </w:rPr>
            </w:pPr>
            <w:r>
              <w:rPr>
                <w:rFonts w:ascii="Arial" w:hAnsi="Arial" w:cs="Arial"/>
                <w:b/>
                <w:color w:val="000000"/>
                <w:szCs w:val="20"/>
              </w:rPr>
              <w:t>Druhá řada sedadel</w:t>
            </w:r>
            <w:r w:rsidRPr="008F301F">
              <w:rPr>
                <w:rFonts w:ascii="Arial" w:hAnsi="Arial" w:cs="Arial"/>
                <w:b/>
                <w:color w:val="000000"/>
                <w:szCs w:val="20"/>
              </w:rPr>
              <w:t xml:space="preserve"> (mm)</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p>
        </w:tc>
      </w:tr>
      <w:tr w:rsidR="00257BFA" w:rsidRPr="008F301F" w:rsidTr="00714E46">
        <w:trPr>
          <w:cantSplit/>
          <w:trHeight w:val="225"/>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bCs/>
                <w:color w:val="000000"/>
                <w:szCs w:val="20"/>
              </w:rPr>
              <w:t>Prostor pro hlavu</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986</w:t>
            </w:r>
          </w:p>
        </w:tc>
      </w:tr>
      <w:tr w:rsidR="00257BFA" w:rsidRPr="008F301F" w:rsidTr="00714E46">
        <w:trPr>
          <w:cantSplit/>
          <w:trHeight w:val="225"/>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Maximální prostor pro nohy</w:t>
            </w:r>
            <w:r w:rsidRPr="008F301F">
              <w:rPr>
                <w:rFonts w:ascii="Arial" w:hAnsi="Arial" w:cs="Arial"/>
                <w:color w:val="000000"/>
                <w:szCs w:val="20"/>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902</w:t>
            </w:r>
          </w:p>
        </w:tc>
      </w:tr>
      <w:tr w:rsidR="00257BFA" w:rsidRPr="008F301F" w:rsidTr="00714E46">
        <w:trPr>
          <w:cantSplit/>
          <w:trHeight w:val="225"/>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Prostor před koleny</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39</w:t>
            </w:r>
          </w:p>
        </w:tc>
      </w:tr>
      <w:tr w:rsidR="00257BFA" w:rsidRPr="008F301F" w:rsidTr="00714E46">
        <w:trPr>
          <w:cantSplit/>
          <w:trHeight w:val="225"/>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Šířka v úrovni ramen</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432</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b/>
                <w:color w:val="000000"/>
                <w:szCs w:val="20"/>
              </w:rPr>
            </w:pPr>
            <w:r>
              <w:rPr>
                <w:rFonts w:ascii="Arial" w:hAnsi="Arial" w:cs="Arial"/>
                <w:b/>
                <w:color w:val="000000"/>
                <w:szCs w:val="20"/>
              </w:rPr>
              <w:t>Nákladový prostor</w:t>
            </w:r>
            <w:r w:rsidRPr="008F301F">
              <w:rPr>
                <w:rFonts w:ascii="Arial" w:hAnsi="Arial" w:cs="Arial"/>
                <w:b/>
                <w:color w:val="000000"/>
                <w:szCs w:val="20"/>
              </w:rPr>
              <w:t xml:space="preserve"> (mm)</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bottom"/>
          </w:tcPr>
          <w:p w:rsidR="00257BFA" w:rsidRPr="008F301F" w:rsidRDefault="00257BFA" w:rsidP="00714E46">
            <w:pPr>
              <w:jc w:val="center"/>
              <w:rPr>
                <w:rFonts w:ascii="Arial" w:hAnsi="Arial" w:cs="Arial"/>
                <w:color w:val="000000"/>
                <w:szCs w:val="20"/>
              </w:rPr>
            </w:pP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Šířka</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560</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vAlign w:val="bottom"/>
          </w:tcPr>
          <w:p w:rsidR="00257BFA" w:rsidRPr="008F301F" w:rsidRDefault="00257BFA" w:rsidP="00714E46">
            <w:pPr>
              <w:rPr>
                <w:rFonts w:ascii="Arial" w:hAnsi="Arial" w:cs="Arial"/>
                <w:color w:val="000000"/>
                <w:szCs w:val="20"/>
              </w:rPr>
            </w:pPr>
            <w:r>
              <w:rPr>
                <w:rFonts w:ascii="Arial" w:hAnsi="Arial" w:cs="Arial"/>
                <w:color w:val="000000"/>
                <w:szCs w:val="20"/>
              </w:rPr>
              <w:t>Šířka mezi podběhy</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139</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color w:val="000000"/>
                <w:szCs w:val="20"/>
              </w:rPr>
            </w:pPr>
            <w:r>
              <w:rPr>
                <w:rFonts w:ascii="Arial" w:hAnsi="Arial" w:cs="Arial"/>
                <w:color w:val="000000"/>
                <w:szCs w:val="20"/>
              </w:rPr>
              <w:t>Délka</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575</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 xml:space="preserve">Výška </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561</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Výška nakládací hrany</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906</w:t>
            </w:r>
          </w:p>
        </w:tc>
      </w:tr>
      <w:tr w:rsidR="00257BFA" w:rsidRPr="008F301F" w:rsidTr="00714E46">
        <w:trPr>
          <w:cantSplit/>
        </w:trPr>
        <w:tc>
          <w:tcPr>
            <w:tcW w:w="5353" w:type="dxa"/>
            <w:tcBorders>
              <w:top w:val="single" w:sz="6" w:space="0" w:color="auto"/>
              <w:left w:val="single" w:sz="4" w:space="0" w:color="auto"/>
              <w:bottom w:val="single" w:sz="6" w:space="0" w:color="auto"/>
              <w:right w:val="single" w:sz="6" w:space="0" w:color="auto"/>
            </w:tcBorders>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Šířka nakládacího otvoru</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1</w:t>
            </w:r>
            <w:r>
              <w:rPr>
                <w:rFonts w:ascii="Arial" w:hAnsi="Arial" w:cs="Arial"/>
                <w:color w:val="000000"/>
                <w:szCs w:val="20"/>
              </w:rPr>
              <w:t xml:space="preserve"> </w:t>
            </w:r>
            <w:r w:rsidRPr="008F301F">
              <w:rPr>
                <w:rFonts w:ascii="Arial" w:hAnsi="Arial" w:cs="Arial"/>
                <w:color w:val="000000"/>
                <w:szCs w:val="20"/>
              </w:rPr>
              <w:t>330</w:t>
            </w:r>
          </w:p>
        </w:tc>
      </w:tr>
      <w:tr w:rsidR="00257BFA" w:rsidRPr="008F301F" w:rsidTr="00714E46">
        <w:trPr>
          <w:cantSplit/>
        </w:trPr>
        <w:tc>
          <w:tcPr>
            <w:tcW w:w="5353" w:type="dxa"/>
            <w:tcBorders>
              <w:top w:val="single" w:sz="6" w:space="0" w:color="auto"/>
              <w:left w:val="single" w:sz="4" w:space="0" w:color="auto"/>
              <w:bottom w:val="single" w:sz="4" w:space="0" w:color="auto"/>
              <w:right w:val="single" w:sz="6" w:space="0" w:color="auto"/>
            </w:tcBorders>
            <w:shd w:val="clear" w:color="auto" w:fill="auto"/>
          </w:tcPr>
          <w:p w:rsidR="00257BFA" w:rsidRPr="008F301F" w:rsidRDefault="00257BFA" w:rsidP="00714E46">
            <w:pPr>
              <w:rPr>
                <w:rFonts w:ascii="Arial" w:hAnsi="Arial" w:cs="Arial"/>
                <w:bCs/>
                <w:color w:val="000000"/>
                <w:szCs w:val="20"/>
              </w:rPr>
            </w:pPr>
            <w:r>
              <w:rPr>
                <w:rFonts w:ascii="Arial" w:hAnsi="Arial" w:cs="Arial"/>
                <w:bCs/>
                <w:color w:val="000000"/>
                <w:szCs w:val="20"/>
              </w:rPr>
              <w:t>Objem palivové nádrže</w:t>
            </w:r>
            <w:r w:rsidRPr="008F301F">
              <w:rPr>
                <w:rFonts w:ascii="Arial" w:hAnsi="Arial" w:cs="Arial"/>
                <w:bCs/>
                <w:color w:val="000000"/>
                <w:szCs w:val="20"/>
              </w:rPr>
              <w:t xml:space="preserve"> (</w:t>
            </w:r>
            <w:r>
              <w:rPr>
                <w:rFonts w:ascii="Arial" w:hAnsi="Arial" w:cs="Arial"/>
                <w:bCs/>
                <w:color w:val="000000"/>
                <w:szCs w:val="20"/>
              </w:rPr>
              <w:t>l</w:t>
            </w:r>
            <w:r w:rsidRPr="008F301F">
              <w:rPr>
                <w:rFonts w:ascii="Arial" w:hAnsi="Arial" w:cs="Arial"/>
                <w:bCs/>
                <w:color w:val="000000"/>
                <w:szCs w:val="20"/>
              </w:rPr>
              <w:t>)</w:t>
            </w:r>
          </w:p>
        </w:tc>
        <w:tc>
          <w:tcPr>
            <w:tcW w:w="4253" w:type="dxa"/>
            <w:tcBorders>
              <w:top w:val="single" w:sz="6" w:space="0" w:color="auto"/>
              <w:left w:val="single" w:sz="6" w:space="0" w:color="auto"/>
              <w:bottom w:val="single" w:sz="4" w:space="0" w:color="auto"/>
              <w:right w:val="single" w:sz="6" w:space="0" w:color="auto"/>
            </w:tcBorders>
            <w:shd w:val="clear" w:color="auto" w:fill="auto"/>
          </w:tcPr>
          <w:p w:rsidR="00257BFA" w:rsidRPr="008F301F" w:rsidRDefault="00257BFA" w:rsidP="00714E46">
            <w:pPr>
              <w:jc w:val="center"/>
              <w:rPr>
                <w:rFonts w:ascii="Arial" w:hAnsi="Arial" w:cs="Arial"/>
                <w:color w:val="000000"/>
                <w:szCs w:val="20"/>
              </w:rPr>
            </w:pPr>
            <w:r w:rsidRPr="008F301F">
              <w:rPr>
                <w:rFonts w:ascii="Arial" w:hAnsi="Arial" w:cs="Arial"/>
                <w:color w:val="000000"/>
                <w:szCs w:val="20"/>
              </w:rPr>
              <w:t>80</w:t>
            </w:r>
          </w:p>
        </w:tc>
      </w:tr>
    </w:tbl>
    <w:p w:rsidR="00257BFA" w:rsidRPr="008F301F" w:rsidRDefault="00257BFA" w:rsidP="00257BFA">
      <w:pPr>
        <w:rPr>
          <w:rFonts w:ascii="Arial" w:hAnsi="Arial" w:cs="Arial"/>
          <w:b/>
          <w:bCs/>
          <w:color w:val="000000"/>
          <w:szCs w:val="20"/>
        </w:rPr>
      </w:pPr>
    </w:p>
    <w:p w:rsidR="00257BFA" w:rsidRPr="008F301F" w:rsidRDefault="00257BFA" w:rsidP="00257BFA">
      <w:pPr>
        <w:rPr>
          <w:rFonts w:ascii="Arial" w:hAnsi="Arial" w:cs="Arial"/>
          <w:b/>
          <w:bCs/>
          <w:szCs w:val="20"/>
          <w:u w:val="single"/>
        </w:rPr>
      </w:pPr>
      <w:r>
        <w:rPr>
          <w:rFonts w:ascii="Arial" w:hAnsi="Arial" w:cs="Arial"/>
          <w:b/>
          <w:bCs/>
          <w:szCs w:val="20"/>
          <w:u w:val="single"/>
        </w:rPr>
        <w:t>HMOTNOSTI</w:t>
      </w:r>
    </w:p>
    <w:p w:rsidR="00257BFA" w:rsidRPr="008F301F" w:rsidRDefault="00257BFA" w:rsidP="00257BFA">
      <w:pPr>
        <w:rPr>
          <w:rFonts w:ascii="Arial" w:hAnsi="Arial" w:cs="Arial"/>
          <w:bCs/>
          <w:szCs w:val="20"/>
        </w:rPr>
      </w:pPr>
    </w:p>
    <w:tbl>
      <w:tblPr>
        <w:tblW w:w="9576" w:type="dxa"/>
        <w:tblLook w:val="01E0" w:firstRow="1" w:lastRow="1" w:firstColumn="1" w:lastColumn="1" w:noHBand="0" w:noVBand="0"/>
      </w:tblPr>
      <w:tblGrid>
        <w:gridCol w:w="2235"/>
        <w:gridCol w:w="1275"/>
        <w:gridCol w:w="1276"/>
        <w:gridCol w:w="1418"/>
        <w:gridCol w:w="1701"/>
        <w:gridCol w:w="1671"/>
      </w:tblGrid>
      <w:tr w:rsidR="00257BFA" w:rsidRPr="008F301F" w:rsidTr="00714E46">
        <w:tc>
          <w:tcPr>
            <w:tcW w:w="2235" w:type="dxa"/>
            <w:tcBorders>
              <w:top w:val="single" w:sz="4" w:space="0" w:color="auto"/>
              <w:left w:val="single" w:sz="4" w:space="0" w:color="auto"/>
              <w:bottom w:val="single" w:sz="4" w:space="0" w:color="auto"/>
              <w:right w:val="single" w:sz="4" w:space="0" w:color="auto"/>
            </w:tcBorders>
            <w:shd w:val="clear" w:color="auto" w:fill="auto"/>
          </w:tcPr>
          <w:p w:rsidR="00257BFA" w:rsidRPr="008F301F" w:rsidRDefault="00257BFA" w:rsidP="00714E46">
            <w:pPr>
              <w:rPr>
                <w:rFonts w:ascii="Arial" w:hAnsi="Arial"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57BFA" w:rsidRPr="008F301F" w:rsidRDefault="00257BFA" w:rsidP="00714E46">
            <w:pPr>
              <w:rPr>
                <w:rFonts w:ascii="Arial" w:hAnsi="Arial" w:cs="Arial"/>
                <w:b/>
                <w:bCs/>
                <w:szCs w:val="20"/>
              </w:rPr>
            </w:pPr>
            <w:r>
              <w:rPr>
                <w:rFonts w:ascii="Arial" w:hAnsi="Arial" w:cs="Arial"/>
                <w:b/>
                <w:bCs/>
                <w:szCs w:val="20"/>
              </w:rPr>
              <w:t>Minimální provozní hmotnost</w:t>
            </w:r>
            <w:r w:rsidRPr="008F301F">
              <w:rPr>
                <w:rFonts w:ascii="Arial" w:hAnsi="Arial" w:cs="Arial"/>
                <w:b/>
                <w:bCs/>
                <w:szCs w:val="20"/>
              </w:rPr>
              <w:t xml:space="preserve">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57BFA" w:rsidRPr="008F301F" w:rsidRDefault="00257BFA" w:rsidP="00714E46">
            <w:pPr>
              <w:rPr>
                <w:rFonts w:ascii="Arial" w:hAnsi="Arial" w:cs="Arial"/>
                <w:b/>
                <w:bCs/>
                <w:szCs w:val="20"/>
              </w:rPr>
            </w:pPr>
            <w:r>
              <w:rPr>
                <w:rFonts w:ascii="Arial" w:hAnsi="Arial" w:cs="Arial"/>
                <w:b/>
                <w:bCs/>
                <w:szCs w:val="20"/>
              </w:rPr>
              <w:t>Nejvyšší přípustná hmotnost</w:t>
            </w:r>
            <w:r w:rsidRPr="008F301F">
              <w:rPr>
                <w:rFonts w:ascii="Arial" w:hAnsi="Arial" w:cs="Arial"/>
                <w:b/>
                <w:bCs/>
                <w:szCs w:val="20"/>
              </w:rPr>
              <w:t xml:space="preserve"> </w:t>
            </w:r>
            <w:r>
              <w:rPr>
                <w:rFonts w:ascii="Arial" w:hAnsi="Arial" w:cs="Arial"/>
                <w:b/>
                <w:bCs/>
                <w:szCs w:val="20"/>
              </w:rPr>
              <w:t xml:space="preserve">vozidla </w:t>
            </w:r>
            <w:r w:rsidRPr="008F301F">
              <w:rPr>
                <w:rFonts w:ascii="Arial" w:hAnsi="Arial" w:cs="Arial"/>
                <w:b/>
                <w:bCs/>
                <w:szCs w:val="20"/>
              </w:rPr>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57BFA" w:rsidRPr="008F301F" w:rsidRDefault="00257BFA" w:rsidP="00714E46">
            <w:pPr>
              <w:rPr>
                <w:rFonts w:ascii="Arial" w:hAnsi="Arial" w:cs="Arial"/>
                <w:b/>
                <w:bCs/>
                <w:szCs w:val="20"/>
              </w:rPr>
            </w:pPr>
            <w:r>
              <w:rPr>
                <w:rFonts w:ascii="Arial" w:hAnsi="Arial" w:cs="Arial"/>
                <w:b/>
                <w:bCs/>
                <w:szCs w:val="20"/>
              </w:rPr>
              <w:t>Užitečné zatížení</w:t>
            </w:r>
            <w:r w:rsidRPr="008F301F">
              <w:rPr>
                <w:rFonts w:ascii="Arial" w:hAnsi="Arial" w:cs="Arial"/>
                <w:b/>
                <w:bCs/>
                <w:szCs w:val="20"/>
              </w:rPr>
              <w:t xml:space="preserve"> (kg)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57BFA" w:rsidRPr="008F301F" w:rsidRDefault="00257BFA" w:rsidP="00714E46">
            <w:pPr>
              <w:rPr>
                <w:rFonts w:ascii="Arial" w:hAnsi="Arial" w:cs="Arial"/>
                <w:b/>
                <w:bCs/>
                <w:szCs w:val="20"/>
              </w:rPr>
            </w:pPr>
            <w:r>
              <w:rPr>
                <w:rFonts w:ascii="Arial" w:hAnsi="Arial" w:cs="Arial"/>
                <w:b/>
                <w:bCs/>
                <w:szCs w:val="20"/>
              </w:rPr>
              <w:t>Nejvyšší přípustná hmotnost</w:t>
            </w:r>
            <w:r w:rsidRPr="008F301F">
              <w:rPr>
                <w:rFonts w:ascii="Arial" w:hAnsi="Arial" w:cs="Arial"/>
                <w:b/>
                <w:bCs/>
                <w:szCs w:val="20"/>
              </w:rPr>
              <w:t xml:space="preserve"> </w:t>
            </w:r>
            <w:r>
              <w:rPr>
                <w:rFonts w:ascii="Arial" w:hAnsi="Arial" w:cs="Arial"/>
                <w:b/>
                <w:bCs/>
                <w:szCs w:val="20"/>
              </w:rPr>
              <w:t xml:space="preserve">brzděného přívěsu </w:t>
            </w:r>
            <w:r w:rsidRPr="008F301F">
              <w:rPr>
                <w:rFonts w:ascii="Arial" w:hAnsi="Arial" w:cs="Arial"/>
                <w:b/>
                <w:bCs/>
                <w:szCs w:val="20"/>
              </w:rPr>
              <w:t>(kg)</w:t>
            </w:r>
          </w:p>
        </w:tc>
        <w:tc>
          <w:tcPr>
            <w:tcW w:w="1671" w:type="dxa"/>
            <w:tcBorders>
              <w:top w:val="single" w:sz="4" w:space="0" w:color="auto"/>
              <w:left w:val="single" w:sz="4" w:space="0" w:color="auto"/>
              <w:bottom w:val="single" w:sz="4" w:space="0" w:color="auto"/>
              <w:right w:val="single" w:sz="4" w:space="0" w:color="auto"/>
            </w:tcBorders>
          </w:tcPr>
          <w:p w:rsidR="00257BFA" w:rsidRPr="008F301F" w:rsidRDefault="00257BFA" w:rsidP="00714E46">
            <w:pPr>
              <w:rPr>
                <w:rFonts w:ascii="Arial" w:hAnsi="Arial" w:cs="Arial"/>
                <w:b/>
                <w:bCs/>
                <w:szCs w:val="20"/>
              </w:rPr>
            </w:pPr>
            <w:r>
              <w:rPr>
                <w:rFonts w:ascii="Arial" w:hAnsi="Arial" w:cs="Arial"/>
                <w:b/>
                <w:bCs/>
                <w:szCs w:val="20"/>
              </w:rPr>
              <w:t>Nejvyšší přípustná hmotnost</w:t>
            </w:r>
            <w:r w:rsidRPr="008F301F">
              <w:rPr>
                <w:rFonts w:ascii="Arial" w:hAnsi="Arial" w:cs="Arial"/>
                <w:b/>
                <w:bCs/>
                <w:szCs w:val="20"/>
              </w:rPr>
              <w:t xml:space="preserve"> </w:t>
            </w:r>
            <w:r>
              <w:rPr>
                <w:rFonts w:ascii="Arial" w:hAnsi="Arial" w:cs="Arial"/>
                <w:b/>
                <w:bCs/>
                <w:szCs w:val="20"/>
              </w:rPr>
              <w:t xml:space="preserve">nebrzděného přívěsu </w:t>
            </w:r>
            <w:r w:rsidRPr="008F301F">
              <w:rPr>
                <w:rFonts w:ascii="Arial" w:hAnsi="Arial" w:cs="Arial"/>
                <w:b/>
                <w:bCs/>
                <w:szCs w:val="20"/>
              </w:rPr>
              <w:t>(kg)</w:t>
            </w:r>
          </w:p>
        </w:tc>
      </w:tr>
      <w:tr w:rsidR="00257BFA" w:rsidRPr="008F301F" w:rsidTr="00714E46">
        <w:tc>
          <w:tcPr>
            <w:tcW w:w="2235" w:type="dxa"/>
            <w:tcBorders>
              <w:top w:val="single" w:sz="4" w:space="0" w:color="auto"/>
              <w:left w:val="single" w:sz="4" w:space="0" w:color="auto"/>
              <w:bottom w:val="single" w:sz="4" w:space="0" w:color="auto"/>
              <w:right w:val="single" w:sz="4" w:space="0" w:color="auto"/>
            </w:tcBorders>
            <w:shd w:val="clear" w:color="auto" w:fill="auto"/>
          </w:tcPr>
          <w:p w:rsidR="00257BFA" w:rsidRPr="008F301F" w:rsidRDefault="00257BFA" w:rsidP="00714E46">
            <w:pPr>
              <w:rPr>
                <w:rFonts w:ascii="Arial" w:hAnsi="Arial" w:cs="Arial"/>
                <w:b/>
                <w:bCs/>
                <w:color w:val="000000"/>
                <w:szCs w:val="20"/>
              </w:rPr>
            </w:pPr>
            <w:r w:rsidRPr="008F301F">
              <w:rPr>
                <w:rFonts w:ascii="Arial" w:hAnsi="Arial" w:cs="Arial"/>
                <w:b/>
                <w:bCs/>
                <w:color w:val="000000"/>
                <w:szCs w:val="20"/>
              </w:rPr>
              <w:t>Ford Ranger Raptor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7BFA" w:rsidRPr="008F301F" w:rsidRDefault="00257BFA" w:rsidP="00714E46">
            <w:pPr>
              <w:rPr>
                <w:rFonts w:ascii="Arial" w:hAnsi="Arial" w:cs="Arial"/>
                <w:color w:val="000000"/>
                <w:szCs w:val="20"/>
              </w:rPr>
            </w:pPr>
            <w:r w:rsidRPr="008F301F">
              <w:rPr>
                <w:rFonts w:ascii="Arial" w:hAnsi="Arial" w:cs="Arial"/>
                <w:color w:val="000000"/>
                <w:szCs w:val="20"/>
              </w:rPr>
              <w:t>2</w:t>
            </w:r>
            <w:r w:rsidR="00D60CA5">
              <w:rPr>
                <w:rFonts w:ascii="Arial" w:hAnsi="Arial" w:cs="Arial"/>
                <w:color w:val="000000"/>
                <w:szCs w:val="20"/>
              </w:rPr>
              <w:t xml:space="preserve"> </w:t>
            </w:r>
            <w:r w:rsidRPr="008F301F">
              <w:rPr>
                <w:rFonts w:ascii="Arial" w:hAnsi="Arial" w:cs="Arial"/>
                <w:color w:val="000000"/>
                <w:szCs w:val="20"/>
              </w:rPr>
              <w:t>510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7BFA" w:rsidRPr="008F301F" w:rsidRDefault="00257BFA" w:rsidP="00714E46">
            <w:pPr>
              <w:rPr>
                <w:rFonts w:ascii="Arial" w:hAnsi="Arial" w:cs="Arial"/>
                <w:color w:val="000000"/>
                <w:szCs w:val="20"/>
              </w:rPr>
            </w:pPr>
            <w:r w:rsidRPr="008F301F">
              <w:rPr>
                <w:rFonts w:ascii="Arial" w:hAnsi="Arial" w:cs="Arial"/>
                <w:color w:val="000000"/>
                <w:szCs w:val="20"/>
              </w:rPr>
              <w:t>3</w:t>
            </w:r>
            <w:r w:rsidR="00D60CA5">
              <w:rPr>
                <w:rFonts w:ascii="Arial" w:hAnsi="Arial" w:cs="Arial"/>
                <w:color w:val="000000"/>
                <w:szCs w:val="20"/>
              </w:rPr>
              <w:t xml:space="preserve"> </w:t>
            </w:r>
            <w:r w:rsidRPr="008F301F">
              <w:rPr>
                <w:rFonts w:ascii="Arial" w:hAnsi="Arial" w:cs="Arial"/>
                <w:color w:val="000000"/>
                <w:szCs w:val="20"/>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7BFA" w:rsidRPr="008F301F" w:rsidRDefault="00257BFA" w:rsidP="00714E46">
            <w:pPr>
              <w:rPr>
                <w:rFonts w:ascii="Arial" w:hAnsi="Arial" w:cs="Arial"/>
                <w:color w:val="000000"/>
                <w:szCs w:val="20"/>
              </w:rPr>
            </w:pPr>
            <w:r w:rsidRPr="008F301F">
              <w:rPr>
                <w:rFonts w:ascii="Arial" w:hAnsi="Arial" w:cs="Arial"/>
                <w:color w:val="000000"/>
                <w:szCs w:val="20"/>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7BFA" w:rsidRPr="008F301F" w:rsidRDefault="00257BFA" w:rsidP="00714E46">
            <w:pPr>
              <w:rPr>
                <w:rFonts w:ascii="Arial" w:hAnsi="Arial" w:cs="Arial"/>
                <w:color w:val="000000"/>
                <w:szCs w:val="20"/>
              </w:rPr>
            </w:pPr>
            <w:r w:rsidRPr="008F301F">
              <w:rPr>
                <w:rFonts w:ascii="Arial" w:hAnsi="Arial" w:cs="Arial"/>
                <w:color w:val="000000"/>
                <w:szCs w:val="20"/>
              </w:rPr>
              <w:t>2</w:t>
            </w:r>
            <w:r w:rsidR="00D60CA5">
              <w:rPr>
                <w:rFonts w:ascii="Arial" w:hAnsi="Arial" w:cs="Arial"/>
                <w:color w:val="000000"/>
                <w:szCs w:val="20"/>
              </w:rPr>
              <w:t xml:space="preserve"> </w:t>
            </w:r>
            <w:r w:rsidRPr="008F301F">
              <w:rPr>
                <w:rFonts w:ascii="Arial" w:hAnsi="Arial" w:cs="Arial"/>
                <w:color w:val="000000"/>
                <w:szCs w:val="20"/>
              </w:rPr>
              <w:t>500</w:t>
            </w:r>
          </w:p>
        </w:tc>
        <w:tc>
          <w:tcPr>
            <w:tcW w:w="1671" w:type="dxa"/>
            <w:tcBorders>
              <w:top w:val="single" w:sz="4" w:space="0" w:color="auto"/>
              <w:left w:val="single" w:sz="4" w:space="0" w:color="auto"/>
              <w:bottom w:val="single" w:sz="4" w:space="0" w:color="auto"/>
              <w:right w:val="single" w:sz="4" w:space="0" w:color="auto"/>
            </w:tcBorders>
          </w:tcPr>
          <w:p w:rsidR="00257BFA" w:rsidRPr="008F301F" w:rsidRDefault="00257BFA" w:rsidP="00714E46">
            <w:pPr>
              <w:rPr>
                <w:rFonts w:ascii="Arial" w:hAnsi="Arial" w:cs="Arial"/>
                <w:color w:val="000000"/>
                <w:szCs w:val="20"/>
              </w:rPr>
            </w:pPr>
            <w:r w:rsidRPr="008F301F">
              <w:rPr>
                <w:rFonts w:ascii="Arial" w:hAnsi="Arial" w:cs="Arial"/>
                <w:color w:val="000000"/>
                <w:szCs w:val="20"/>
              </w:rPr>
              <w:t>750</w:t>
            </w:r>
          </w:p>
        </w:tc>
      </w:tr>
    </w:tbl>
    <w:p w:rsidR="00257BFA" w:rsidRPr="008F301F" w:rsidRDefault="00257BFA" w:rsidP="00257BFA">
      <w:pPr>
        <w:rPr>
          <w:rFonts w:ascii="Arial" w:hAnsi="Arial" w:cs="Arial"/>
          <w:szCs w:val="20"/>
        </w:rPr>
      </w:pPr>
    </w:p>
    <w:p w:rsidR="00257BFA" w:rsidRPr="00565B02" w:rsidRDefault="00257BFA" w:rsidP="00257BFA">
      <w:pPr>
        <w:rPr>
          <w:rFonts w:ascii="Arial" w:hAnsi="Arial" w:cs="Arial"/>
          <w:sz w:val="18"/>
          <w:szCs w:val="20"/>
        </w:rPr>
      </w:pPr>
      <w:r>
        <w:rPr>
          <w:rFonts w:ascii="Arial" w:hAnsi="Arial" w:cs="Arial"/>
          <w:sz w:val="18"/>
          <w:szCs w:val="20"/>
        </w:rPr>
        <w:t>Minimální provozní hmotnost p</w:t>
      </w:r>
      <w:r w:rsidRPr="00565B02">
        <w:rPr>
          <w:rFonts w:ascii="Arial" w:hAnsi="Arial" w:cs="Arial"/>
          <w:sz w:val="18"/>
          <w:szCs w:val="20"/>
        </w:rPr>
        <w:t>ředstavuje nejnižší provozní hmotnost vozidla připraveného k jízdě včetně všech provozních kapalin a nádrže naplněné na 90 procent její kapacity. Skutečné hodnoty se mohou lišit v závislosti na výrobních tolerancích, instalované výbavě atd.</w:t>
      </w:r>
      <w:r w:rsidRPr="00565B02">
        <w:t xml:space="preserve"> </w:t>
      </w:r>
      <w:r w:rsidRPr="00565B02">
        <w:rPr>
          <w:rFonts w:ascii="Arial" w:hAnsi="Arial" w:cs="Arial"/>
          <w:sz w:val="18"/>
          <w:szCs w:val="20"/>
        </w:rPr>
        <w:t>Uváděné hmotnosti přívěsu vyjadřují schopnost vozidla zatíženého na nejvyšší technicky přípustnou hmotnost (celková hmotnost vozidla) s připojeným přívěsným vozidlem znovu se po zastavení rozjet ve svahu s</w:t>
      </w:r>
      <w:r w:rsidR="00D60CA5">
        <w:rPr>
          <w:rFonts w:ascii="Arial" w:hAnsi="Arial" w:cs="Arial"/>
          <w:sz w:val="18"/>
          <w:szCs w:val="20"/>
        </w:rPr>
        <w:t xml:space="preserve"> </w:t>
      </w:r>
      <w:r w:rsidR="00F757F1">
        <w:rPr>
          <w:rFonts w:ascii="Arial" w:hAnsi="Arial" w:cs="Arial"/>
          <w:sz w:val="18"/>
          <w:szCs w:val="20"/>
        </w:rPr>
        <w:t>dvanácti</w:t>
      </w:r>
      <w:r w:rsidR="00D60CA5">
        <w:rPr>
          <w:rFonts w:ascii="Arial" w:hAnsi="Arial" w:cs="Arial"/>
          <w:sz w:val="18"/>
          <w:szCs w:val="20"/>
        </w:rPr>
        <w:t>procentním</w:t>
      </w:r>
      <w:r w:rsidRPr="00565B02">
        <w:rPr>
          <w:rFonts w:ascii="Arial" w:hAnsi="Arial" w:cs="Arial"/>
          <w:sz w:val="18"/>
          <w:szCs w:val="20"/>
        </w:rPr>
        <w:t xml:space="preserve"> stoupáním na úrovni hladiny moře. Jízdní výkony a spotřeba všech modelů se při jízdě s přívěsným vozidlem zhoršují.</w:t>
      </w:r>
    </w:p>
    <w:p w:rsidR="00257BFA" w:rsidRPr="00565B02" w:rsidRDefault="00257BFA" w:rsidP="00257BFA">
      <w:pPr>
        <w:rPr>
          <w:rFonts w:ascii="Arial" w:hAnsi="Arial" w:cs="Arial"/>
          <w:sz w:val="18"/>
          <w:szCs w:val="20"/>
        </w:rPr>
      </w:pPr>
    </w:p>
    <w:p w:rsidR="00D60CA5" w:rsidRDefault="00257BFA" w:rsidP="00257BFA">
      <w:pPr>
        <w:rPr>
          <w:rFonts w:ascii="Arial" w:hAnsi="Arial" w:cs="Arial"/>
          <w:b/>
          <w:bCs/>
          <w:szCs w:val="20"/>
        </w:rPr>
      </w:pPr>
      <w:r w:rsidRPr="008F301F">
        <w:rPr>
          <w:rFonts w:ascii="Arial" w:hAnsi="Arial" w:cs="Arial"/>
          <w:b/>
          <w:bCs/>
          <w:szCs w:val="20"/>
        </w:rPr>
        <w:br w:type="page"/>
      </w:r>
    </w:p>
    <w:p w:rsidR="00257BFA" w:rsidRPr="008F301F" w:rsidRDefault="00257BFA" w:rsidP="00257BFA">
      <w:pPr>
        <w:rPr>
          <w:rFonts w:ascii="Arial" w:hAnsi="Arial" w:cs="Arial"/>
          <w:b/>
          <w:bCs/>
          <w:szCs w:val="20"/>
          <w:u w:val="single"/>
        </w:rPr>
      </w:pPr>
      <w:r>
        <w:rPr>
          <w:rFonts w:ascii="Arial" w:hAnsi="Arial" w:cs="Arial"/>
          <w:b/>
          <w:bCs/>
          <w:szCs w:val="20"/>
          <w:u w:val="single"/>
        </w:rPr>
        <w:lastRenderedPageBreak/>
        <w:t>JÍZDNÍ VÝKONY, SPOTŘEBA PALIVA A EMISE</w:t>
      </w:r>
    </w:p>
    <w:p w:rsidR="00257BFA" w:rsidRPr="008F301F" w:rsidRDefault="00257BFA" w:rsidP="00257BFA">
      <w:pPr>
        <w:jc w:val="center"/>
        <w:rPr>
          <w:rFonts w:ascii="Arial" w:hAnsi="Arial" w:cs="Arial"/>
          <w:szCs w:val="20"/>
        </w:rPr>
      </w:pPr>
    </w:p>
    <w:tbl>
      <w:tblPr>
        <w:tblW w:w="9513" w:type="dxa"/>
        <w:tblInd w:w="93" w:type="dxa"/>
        <w:tblLayout w:type="fixed"/>
        <w:tblLook w:val="04A0" w:firstRow="1" w:lastRow="0" w:firstColumn="1" w:lastColumn="0" w:noHBand="0" w:noVBand="1"/>
      </w:tblPr>
      <w:tblGrid>
        <w:gridCol w:w="2425"/>
        <w:gridCol w:w="1276"/>
        <w:gridCol w:w="992"/>
        <w:gridCol w:w="1134"/>
        <w:gridCol w:w="1559"/>
        <w:gridCol w:w="1018"/>
        <w:gridCol w:w="1109"/>
      </w:tblGrid>
      <w:tr w:rsidR="00257BFA" w:rsidRPr="008F301F" w:rsidTr="00714E46">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BFA" w:rsidRPr="008F301F" w:rsidRDefault="00257BFA" w:rsidP="00714E46">
            <w:pPr>
              <w:rPr>
                <w:rFonts w:ascii="Arial" w:hAnsi="Arial" w:cs="Arial"/>
                <w:b/>
                <w:bCs/>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57BFA" w:rsidRPr="008F301F" w:rsidRDefault="00257BFA" w:rsidP="00714E46">
            <w:pPr>
              <w:rPr>
                <w:rFonts w:ascii="Arial" w:hAnsi="Arial" w:cs="Arial"/>
                <w:b/>
                <w:bCs/>
                <w:szCs w:val="20"/>
                <w:lang w:eastAsia="en-GB"/>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7BFA" w:rsidRPr="008F301F" w:rsidRDefault="00257BFA" w:rsidP="00714E46">
            <w:pPr>
              <w:rPr>
                <w:rFonts w:ascii="Arial" w:hAnsi="Arial" w:cs="Arial"/>
                <w:szCs w:val="20"/>
                <w:lang w:eastAsia="en-GB"/>
              </w:rPr>
            </w:pPr>
            <w:r>
              <w:rPr>
                <w:rFonts w:ascii="Arial" w:hAnsi="Arial" w:cs="Arial"/>
                <w:b/>
                <w:bCs/>
                <w:szCs w:val="20"/>
                <w:lang w:eastAsia="en-GB"/>
              </w:rPr>
              <w:t>Spotřeba paliva</w:t>
            </w:r>
            <w:r w:rsidRPr="008F301F">
              <w:rPr>
                <w:rFonts w:ascii="Arial" w:hAnsi="Arial" w:cs="Arial"/>
                <w:b/>
                <w:bCs/>
                <w:szCs w:val="20"/>
                <w:lang w:eastAsia="en-GB"/>
              </w:rPr>
              <w:t xml:space="preserve"> </w:t>
            </w:r>
            <w:r>
              <w:rPr>
                <w:rFonts w:ascii="Arial" w:hAnsi="Arial" w:cs="Arial"/>
                <w:b/>
                <w:bCs/>
                <w:szCs w:val="20"/>
                <w:lang w:eastAsia="en-GB"/>
              </w:rPr>
              <w:t>(</w:t>
            </w:r>
            <w:r w:rsidRPr="008F301F">
              <w:rPr>
                <w:rFonts w:ascii="Arial" w:hAnsi="Arial" w:cs="Arial"/>
                <w:b/>
                <w:szCs w:val="20"/>
                <w:lang w:eastAsia="en-GB"/>
              </w:rPr>
              <w:t>l/100 km</w:t>
            </w:r>
            <w:r>
              <w:rPr>
                <w:rFonts w:ascii="Arial" w:hAnsi="Arial" w:cs="Arial"/>
                <w:b/>
                <w:szCs w:val="20"/>
                <w:lang w:eastAsia="en-GB"/>
              </w:rPr>
              <w:t>)</w:t>
            </w:r>
            <w:r w:rsidRPr="008F301F">
              <w:rPr>
                <w:rFonts w:ascii="Arial" w:hAnsi="Arial" w:cs="Arial"/>
                <w:b/>
                <w:szCs w:val="20"/>
                <w:lang w:eastAsia="en-GB"/>
              </w:rPr>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7BFA" w:rsidRPr="008F301F" w:rsidRDefault="00257BFA" w:rsidP="00714E46">
            <w:pPr>
              <w:rPr>
                <w:rFonts w:ascii="Arial" w:hAnsi="Arial" w:cs="Arial"/>
                <w:szCs w:val="20"/>
                <w:lang w:eastAsia="en-GB"/>
              </w:rPr>
            </w:pPr>
            <w:r>
              <w:rPr>
                <w:rFonts w:ascii="Arial" w:hAnsi="Arial" w:cs="Arial"/>
                <w:b/>
                <w:bCs/>
                <w:szCs w:val="20"/>
                <w:lang w:eastAsia="en-GB"/>
              </w:rPr>
              <w:t>Jízdní výkony</w:t>
            </w:r>
            <w:r w:rsidRPr="008F301F">
              <w:rPr>
                <w:rFonts w:ascii="Arial" w:hAnsi="Arial" w:cs="Arial"/>
                <w:szCs w:val="20"/>
                <w:vertAlign w:val="superscript"/>
              </w:rPr>
              <w:t>Ø</w:t>
            </w:r>
          </w:p>
        </w:tc>
      </w:tr>
      <w:tr w:rsidR="00257BFA" w:rsidRPr="008F301F" w:rsidTr="00714E46">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7BFA" w:rsidRPr="008F301F" w:rsidRDefault="00257BFA" w:rsidP="00714E46">
            <w:pPr>
              <w:rPr>
                <w:rFonts w:ascii="Arial" w:hAnsi="Arial" w:cs="Arial"/>
                <w:b/>
                <w:bCs/>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7BFA" w:rsidRPr="008F301F" w:rsidRDefault="00257BFA" w:rsidP="00714E46">
            <w:pPr>
              <w:jc w:val="center"/>
              <w:rPr>
                <w:rFonts w:ascii="Arial" w:hAnsi="Arial" w:cs="Arial"/>
                <w:szCs w:val="20"/>
                <w:lang w:eastAsia="en-GB"/>
              </w:rPr>
            </w:pPr>
            <w:r>
              <w:rPr>
                <w:rFonts w:ascii="Arial" w:hAnsi="Arial" w:cs="Arial"/>
                <w:bCs/>
                <w:szCs w:val="20"/>
                <w:lang w:eastAsia="en-GB"/>
              </w:rPr>
              <w:t xml:space="preserve">Emise </w:t>
            </w:r>
            <w:r w:rsidRPr="008F301F">
              <w:rPr>
                <w:rFonts w:ascii="Arial" w:hAnsi="Arial" w:cs="Arial"/>
                <w:bCs/>
                <w:szCs w:val="20"/>
                <w:lang w:eastAsia="en-GB"/>
              </w:rPr>
              <w:t>CO</w:t>
            </w:r>
            <w:r w:rsidRPr="008F301F">
              <w:rPr>
                <w:rFonts w:ascii="Arial" w:hAnsi="Arial" w:cs="Arial"/>
                <w:bCs/>
                <w:szCs w:val="20"/>
                <w:vertAlign w:val="subscript"/>
                <w:lang w:eastAsia="en-GB"/>
              </w:rPr>
              <w:t>2</w:t>
            </w:r>
            <w:r w:rsidRPr="008F301F">
              <w:rPr>
                <w:rFonts w:ascii="Arial" w:hAnsi="Arial" w:cs="Arial"/>
                <w:szCs w:val="20"/>
                <w:lang w:eastAsia="en-GB"/>
              </w:rPr>
              <w:t xml:space="preserve">  (g/km)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57BFA" w:rsidRPr="008F301F" w:rsidRDefault="00257BFA" w:rsidP="00714E46">
            <w:pPr>
              <w:jc w:val="center"/>
              <w:rPr>
                <w:rFonts w:ascii="Arial" w:hAnsi="Arial" w:cs="Arial"/>
                <w:szCs w:val="20"/>
                <w:lang w:eastAsia="en-GB"/>
              </w:rPr>
            </w:pPr>
            <w:r>
              <w:rPr>
                <w:rFonts w:ascii="Arial" w:hAnsi="Arial" w:cs="Arial"/>
                <w:szCs w:val="20"/>
                <w:lang w:eastAsia="en-GB"/>
              </w:rPr>
              <w:t>Město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7BFA" w:rsidRPr="008F301F" w:rsidRDefault="00257BFA" w:rsidP="00714E46">
            <w:pPr>
              <w:jc w:val="center"/>
              <w:rPr>
                <w:rFonts w:ascii="Arial" w:hAnsi="Arial" w:cs="Arial"/>
                <w:szCs w:val="20"/>
                <w:lang w:eastAsia="en-GB"/>
              </w:rPr>
            </w:pPr>
            <w:r>
              <w:rPr>
                <w:rFonts w:ascii="Arial" w:hAnsi="Arial" w:cs="Arial"/>
                <w:szCs w:val="20"/>
                <w:lang w:eastAsia="en-GB"/>
              </w:rPr>
              <w:t>Mimo město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7BFA" w:rsidRPr="008F301F" w:rsidRDefault="00257BFA" w:rsidP="00714E46">
            <w:pPr>
              <w:jc w:val="center"/>
              <w:rPr>
                <w:rFonts w:ascii="Arial" w:hAnsi="Arial" w:cs="Arial"/>
                <w:szCs w:val="20"/>
                <w:lang w:eastAsia="en-GB"/>
              </w:rPr>
            </w:pPr>
            <w:r>
              <w:rPr>
                <w:rFonts w:ascii="Arial" w:hAnsi="Arial" w:cs="Arial"/>
                <w:szCs w:val="20"/>
                <w:lang w:eastAsia="en-GB"/>
              </w:rPr>
              <w:t>Kombinovaná</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BFA" w:rsidRPr="008F301F" w:rsidRDefault="00257BFA" w:rsidP="00714E46">
            <w:pPr>
              <w:jc w:val="center"/>
              <w:rPr>
                <w:rFonts w:ascii="Arial" w:hAnsi="Arial" w:cs="Arial"/>
                <w:szCs w:val="20"/>
                <w:lang w:eastAsia="en-GB"/>
              </w:rPr>
            </w:pPr>
            <w:r>
              <w:rPr>
                <w:rFonts w:ascii="Arial" w:hAnsi="Arial" w:cs="Arial"/>
                <w:szCs w:val="20"/>
                <w:lang w:eastAsia="en-GB"/>
              </w:rPr>
              <w:t>Nejvyšší rychlost</w:t>
            </w:r>
            <w:r w:rsidRPr="008F301F">
              <w:rPr>
                <w:rFonts w:ascii="Arial" w:hAnsi="Arial" w:cs="Arial"/>
                <w:szCs w:val="20"/>
                <w:lang w:eastAsia="en-GB"/>
              </w:rPr>
              <w:t xml:space="preserve"> </w:t>
            </w:r>
            <w:r>
              <w:rPr>
                <w:rFonts w:ascii="Arial" w:hAnsi="Arial" w:cs="Arial"/>
                <w:szCs w:val="20"/>
                <w:lang w:eastAsia="en-GB"/>
              </w:rPr>
              <w:t>(</w:t>
            </w:r>
            <w:r w:rsidRPr="008F301F">
              <w:rPr>
                <w:rFonts w:ascii="Arial" w:hAnsi="Arial" w:cs="Arial"/>
                <w:szCs w:val="20"/>
                <w:lang w:eastAsia="en-GB"/>
              </w:rPr>
              <w:t>km/h</w:t>
            </w:r>
            <w:r>
              <w:rPr>
                <w:rFonts w:ascii="Arial" w:hAnsi="Arial" w:cs="Arial"/>
                <w:szCs w:val="20"/>
                <w:lang w:eastAsia="en-GB"/>
              </w:rPr>
              <w:t>)</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BFA" w:rsidRPr="008F301F" w:rsidRDefault="00257BFA" w:rsidP="00714E46">
            <w:pPr>
              <w:jc w:val="center"/>
              <w:rPr>
                <w:rFonts w:ascii="Arial" w:hAnsi="Arial" w:cs="Arial"/>
                <w:szCs w:val="20"/>
                <w:lang w:eastAsia="en-GB"/>
              </w:rPr>
            </w:pPr>
            <w:r w:rsidRPr="008F301F">
              <w:rPr>
                <w:rFonts w:ascii="Arial" w:hAnsi="Arial" w:cs="Arial"/>
                <w:szCs w:val="20"/>
                <w:lang w:eastAsia="en-GB"/>
              </w:rPr>
              <w:t>0-100 km/h</w:t>
            </w:r>
            <w:r w:rsidRPr="008F301F">
              <w:rPr>
                <w:rFonts w:ascii="Arial" w:hAnsi="Arial" w:cs="Arial"/>
                <w:szCs w:val="20"/>
                <w:lang w:eastAsia="en-GB"/>
              </w:rPr>
              <w:br/>
            </w:r>
            <w:r>
              <w:rPr>
                <w:rFonts w:ascii="Arial" w:hAnsi="Arial" w:cs="Arial"/>
                <w:szCs w:val="20"/>
                <w:lang w:eastAsia="en-GB"/>
              </w:rPr>
              <w:t>(s)</w:t>
            </w:r>
          </w:p>
        </w:tc>
      </w:tr>
      <w:tr w:rsidR="00257BFA" w:rsidRPr="008F301F" w:rsidTr="00714E46">
        <w:trPr>
          <w:trHeight w:val="255"/>
        </w:trPr>
        <w:tc>
          <w:tcPr>
            <w:tcW w:w="2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7BFA" w:rsidRPr="008F301F" w:rsidRDefault="00257BFA" w:rsidP="00714E46">
            <w:pPr>
              <w:rPr>
                <w:rFonts w:ascii="Arial" w:hAnsi="Arial" w:cs="Arial"/>
                <w:szCs w:val="20"/>
                <w:lang w:eastAsia="en-GB"/>
              </w:rPr>
            </w:pPr>
            <w:r w:rsidRPr="008F301F">
              <w:rPr>
                <w:rFonts w:ascii="Arial" w:hAnsi="Arial" w:cs="Arial"/>
                <w:szCs w:val="20"/>
                <w:lang w:eastAsia="en-GB"/>
              </w:rPr>
              <w:t>Ford Ranger Raptor 2.0 EcoBlue, 10</w:t>
            </w:r>
            <w:r>
              <w:rPr>
                <w:rFonts w:ascii="Arial" w:hAnsi="Arial" w:cs="Arial"/>
                <w:szCs w:val="20"/>
                <w:lang w:eastAsia="en-GB"/>
              </w:rPr>
              <w:t>st. automat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BFA" w:rsidRPr="008F301F" w:rsidRDefault="00257BFA" w:rsidP="00714E46">
            <w:pPr>
              <w:jc w:val="center"/>
              <w:rPr>
                <w:rFonts w:ascii="Arial" w:hAnsi="Arial" w:cs="Arial"/>
                <w:color w:val="000000"/>
                <w:szCs w:val="20"/>
                <w:lang w:eastAsia="en-GB"/>
              </w:rPr>
            </w:pPr>
            <w:r w:rsidRPr="008F301F">
              <w:rPr>
                <w:rFonts w:ascii="Arial" w:hAnsi="Arial" w:cs="Arial"/>
                <w:color w:val="000000"/>
                <w:szCs w:val="20"/>
                <w:lang w:eastAsia="en-GB"/>
              </w:rPr>
              <w:t>233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BFA" w:rsidRPr="008F301F" w:rsidRDefault="00257BFA" w:rsidP="00714E46">
            <w:pPr>
              <w:jc w:val="center"/>
              <w:rPr>
                <w:rFonts w:ascii="Arial" w:hAnsi="Arial" w:cs="Arial"/>
                <w:color w:val="000000"/>
                <w:szCs w:val="20"/>
                <w:lang w:eastAsia="en-GB"/>
              </w:rPr>
            </w:pPr>
            <w:r w:rsidRPr="008F301F">
              <w:rPr>
                <w:rFonts w:ascii="Arial" w:hAnsi="Arial" w:cs="Arial"/>
                <w:color w:val="000000"/>
                <w:szCs w:val="20"/>
                <w:lang w:eastAsia="en-GB"/>
              </w:rPr>
              <w:t>10</w:t>
            </w:r>
            <w:r>
              <w:rPr>
                <w:rFonts w:ascii="Arial" w:hAnsi="Arial" w:cs="Arial"/>
                <w:color w:val="000000"/>
                <w:szCs w:val="20"/>
                <w:lang w:eastAsia="en-GB"/>
              </w:rPr>
              <w:t>,</w:t>
            </w:r>
            <w:r w:rsidRPr="008F301F">
              <w:rPr>
                <w:rFonts w:ascii="Arial" w:hAnsi="Arial" w:cs="Arial"/>
                <w:color w:val="000000"/>
                <w:szCs w:val="20"/>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BFA" w:rsidRPr="008F301F" w:rsidRDefault="00257BFA" w:rsidP="00714E46">
            <w:pPr>
              <w:jc w:val="center"/>
              <w:rPr>
                <w:rFonts w:ascii="Arial" w:hAnsi="Arial" w:cs="Arial"/>
                <w:color w:val="000000"/>
                <w:szCs w:val="20"/>
                <w:lang w:eastAsia="en-GB"/>
              </w:rPr>
            </w:pPr>
            <w:r w:rsidRPr="008F301F">
              <w:rPr>
                <w:rFonts w:ascii="Arial" w:hAnsi="Arial" w:cs="Arial"/>
                <w:color w:val="000000"/>
                <w:szCs w:val="20"/>
                <w:lang w:eastAsia="en-GB"/>
              </w:rPr>
              <w:t>8</w:t>
            </w:r>
            <w:r>
              <w:rPr>
                <w:rFonts w:ascii="Arial" w:hAnsi="Arial" w:cs="Arial"/>
                <w:color w:val="000000"/>
                <w:szCs w:val="20"/>
                <w:lang w:eastAsia="en-GB"/>
              </w:rPr>
              <w:t>,</w:t>
            </w:r>
            <w:r w:rsidRPr="008F301F">
              <w:rPr>
                <w:rFonts w:ascii="Arial" w:hAnsi="Arial" w:cs="Arial"/>
                <w:color w:val="000000"/>
                <w:szCs w:val="20"/>
                <w:lang w:eastAsia="en-GB"/>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BFA" w:rsidRPr="008F301F" w:rsidRDefault="00257BFA" w:rsidP="00714E46">
            <w:pPr>
              <w:jc w:val="center"/>
              <w:rPr>
                <w:rFonts w:ascii="Arial" w:hAnsi="Arial" w:cs="Arial"/>
                <w:color w:val="000000"/>
                <w:szCs w:val="20"/>
                <w:lang w:eastAsia="en-GB"/>
              </w:rPr>
            </w:pPr>
            <w:r w:rsidRPr="008F301F">
              <w:rPr>
                <w:rFonts w:ascii="Arial" w:hAnsi="Arial" w:cs="Arial"/>
                <w:color w:val="000000"/>
                <w:szCs w:val="20"/>
                <w:lang w:eastAsia="en-GB"/>
              </w:rPr>
              <w:t>8</w:t>
            </w:r>
            <w:r>
              <w:rPr>
                <w:rFonts w:ascii="Arial" w:hAnsi="Arial" w:cs="Arial"/>
                <w:color w:val="000000"/>
                <w:szCs w:val="20"/>
                <w:lang w:eastAsia="en-GB"/>
              </w:rPr>
              <w:t>,</w:t>
            </w:r>
            <w:r w:rsidRPr="008F301F">
              <w:rPr>
                <w:rFonts w:ascii="Arial" w:hAnsi="Arial" w:cs="Arial"/>
                <w:color w:val="000000"/>
                <w:szCs w:val="20"/>
                <w:lang w:eastAsia="en-GB"/>
              </w:rPr>
              <w:t xml:space="preserve">9 </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BFA" w:rsidRPr="008F301F" w:rsidRDefault="00257BFA" w:rsidP="00714E46">
            <w:pPr>
              <w:jc w:val="center"/>
              <w:rPr>
                <w:rFonts w:ascii="Arial" w:hAnsi="Arial" w:cs="Arial"/>
                <w:color w:val="000000"/>
                <w:szCs w:val="20"/>
                <w:lang w:eastAsia="en-GB"/>
              </w:rPr>
            </w:pPr>
            <w:r w:rsidRPr="008F301F">
              <w:rPr>
                <w:rFonts w:ascii="Arial" w:hAnsi="Arial" w:cs="Arial"/>
                <w:color w:val="000000"/>
                <w:szCs w:val="20"/>
                <w:lang w:eastAsia="en-GB"/>
              </w:rPr>
              <w:t xml:space="preserve">170 </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7BFA" w:rsidRPr="008F301F" w:rsidRDefault="00257BFA" w:rsidP="00714E46">
            <w:pPr>
              <w:jc w:val="center"/>
              <w:rPr>
                <w:rFonts w:ascii="Arial" w:hAnsi="Arial" w:cs="Arial"/>
                <w:color w:val="000000"/>
                <w:szCs w:val="20"/>
                <w:lang w:eastAsia="en-GB"/>
              </w:rPr>
            </w:pPr>
            <w:r w:rsidRPr="008F301F">
              <w:rPr>
                <w:rFonts w:ascii="Arial" w:hAnsi="Arial" w:cs="Arial"/>
                <w:color w:val="000000"/>
                <w:szCs w:val="20"/>
                <w:lang w:eastAsia="en-GB"/>
              </w:rPr>
              <w:t>10</w:t>
            </w:r>
            <w:r>
              <w:rPr>
                <w:rFonts w:ascii="Arial" w:hAnsi="Arial" w:cs="Arial"/>
                <w:color w:val="000000"/>
                <w:szCs w:val="20"/>
                <w:lang w:eastAsia="en-GB"/>
              </w:rPr>
              <w:t>,</w:t>
            </w:r>
            <w:r w:rsidRPr="008F301F">
              <w:rPr>
                <w:rFonts w:ascii="Arial" w:hAnsi="Arial" w:cs="Arial"/>
                <w:color w:val="000000"/>
                <w:szCs w:val="20"/>
                <w:lang w:eastAsia="en-GB"/>
              </w:rPr>
              <w:t>5</w:t>
            </w:r>
          </w:p>
        </w:tc>
      </w:tr>
    </w:tbl>
    <w:p w:rsidR="00257BFA" w:rsidRPr="008F301F" w:rsidRDefault="00257BFA" w:rsidP="00257BFA">
      <w:pPr>
        <w:rPr>
          <w:rFonts w:ascii="Arial" w:hAnsi="Arial" w:cs="Arial"/>
          <w:szCs w:val="20"/>
        </w:rPr>
      </w:pPr>
    </w:p>
    <w:p w:rsidR="00257BFA" w:rsidRPr="00CA7E1B" w:rsidRDefault="00257BFA" w:rsidP="00257BFA">
      <w:pPr>
        <w:overflowPunct w:val="0"/>
        <w:autoSpaceDE w:val="0"/>
        <w:autoSpaceDN w:val="0"/>
        <w:adjustRightInd w:val="0"/>
        <w:textAlignment w:val="baseline"/>
        <w:rPr>
          <w:rFonts w:ascii="Arial" w:hAnsi="Arial" w:cs="Arial"/>
          <w:szCs w:val="20"/>
        </w:rPr>
      </w:pPr>
      <w:r w:rsidRPr="008F301F">
        <w:rPr>
          <w:rFonts w:ascii="Arial" w:hAnsi="Arial" w:cs="Arial"/>
          <w:szCs w:val="20"/>
          <w:vertAlign w:val="superscript"/>
        </w:rPr>
        <w:t>Ø</w:t>
      </w:r>
      <w:r>
        <w:rPr>
          <w:rFonts w:ascii="Arial" w:hAnsi="Arial" w:cs="Arial"/>
          <w:szCs w:val="20"/>
        </w:rPr>
        <w:t>Dle zkoušek Fordu</w:t>
      </w:r>
      <w:r w:rsidRPr="008F301F">
        <w:rPr>
          <w:rFonts w:ascii="Arial" w:hAnsi="Arial" w:cs="Arial"/>
          <w:szCs w:val="20"/>
        </w:rPr>
        <w:t xml:space="preserve"> </w:t>
      </w:r>
    </w:p>
    <w:p w:rsidR="00257BFA" w:rsidRPr="008F301F" w:rsidRDefault="00257BFA" w:rsidP="00257BFA">
      <w:pPr>
        <w:overflowPunct w:val="0"/>
        <w:autoSpaceDE w:val="0"/>
        <w:autoSpaceDN w:val="0"/>
        <w:adjustRightInd w:val="0"/>
        <w:textAlignment w:val="baseline"/>
        <w:rPr>
          <w:rFonts w:ascii="Arial" w:hAnsi="Arial" w:cs="Arial"/>
          <w:i/>
          <w:sz w:val="18"/>
          <w:szCs w:val="18"/>
        </w:rPr>
      </w:pPr>
    </w:p>
    <w:p w:rsidR="00257BFA" w:rsidRPr="008F301F" w:rsidRDefault="00257BFA" w:rsidP="00257BFA">
      <w:pPr>
        <w:autoSpaceDE w:val="0"/>
        <w:autoSpaceDN w:val="0"/>
        <w:rPr>
          <w:rFonts w:ascii="Arial" w:hAnsi="Arial" w:cs="Arial"/>
          <w:b/>
          <w:bCs/>
          <w:iCs/>
          <w:sz w:val="18"/>
          <w:szCs w:val="18"/>
        </w:rPr>
      </w:pPr>
      <w:bookmarkStart w:id="10" w:name="date"/>
      <w:bookmarkEnd w:id="10"/>
    </w:p>
    <w:p w:rsidR="00257BFA" w:rsidRPr="004B42FA" w:rsidRDefault="00257BFA" w:rsidP="00257BFA">
      <w:pPr>
        <w:overflowPunct w:val="0"/>
        <w:autoSpaceDE w:val="0"/>
        <w:autoSpaceDN w:val="0"/>
        <w:adjustRightInd w:val="0"/>
        <w:textAlignment w:val="baseline"/>
        <w:rPr>
          <w:rFonts w:ascii="Arial" w:hAnsi="Arial" w:cs="Arial"/>
          <w:szCs w:val="20"/>
        </w:rPr>
      </w:pPr>
      <w:r w:rsidRPr="004B42FA">
        <w:rPr>
          <w:rFonts w:ascii="Arial" w:hAnsi="Arial" w:cs="Arial"/>
          <w:szCs w:val="20"/>
        </w:rPr>
        <w:t>Poznámka: Uvedené informace jsou předběžné a byly správné v době odevzdání tohoto dokumentu do výroby. Společnost Ford nicméně vyznává strategii neustálého zdokonalování svých produktů. Právo na změny bez předchozího upozornění vyhrazeno.</w:t>
      </w:r>
    </w:p>
    <w:p w:rsidR="00257BFA" w:rsidRPr="004B42FA" w:rsidRDefault="00257BFA" w:rsidP="00257BFA">
      <w:pPr>
        <w:overflowPunct w:val="0"/>
        <w:autoSpaceDE w:val="0"/>
        <w:autoSpaceDN w:val="0"/>
        <w:adjustRightInd w:val="0"/>
        <w:textAlignment w:val="baseline"/>
        <w:rPr>
          <w:rFonts w:ascii="Arial" w:hAnsi="Arial" w:cs="Arial"/>
          <w:szCs w:val="20"/>
        </w:rPr>
      </w:pPr>
    </w:p>
    <w:p w:rsidR="00257BFA" w:rsidRPr="004B42FA" w:rsidRDefault="00257BFA" w:rsidP="00257BFA">
      <w:pPr>
        <w:autoSpaceDE w:val="0"/>
        <w:autoSpaceDN w:val="0"/>
        <w:rPr>
          <w:rFonts w:ascii="Arial" w:hAnsi="Arial" w:cs="Arial"/>
          <w:szCs w:val="20"/>
        </w:rPr>
      </w:pPr>
      <w:r w:rsidRPr="004B42FA">
        <w:rPr>
          <w:rFonts w:ascii="Arial" w:hAnsi="Arial" w:cs="Arial"/>
          <w:szCs w:val="20"/>
        </w:rPr>
        <w:t>Uváděné hodnoty spotřeby paliva a emisí CO</w:t>
      </w:r>
      <w:r w:rsidRPr="004B42FA">
        <w:rPr>
          <w:rFonts w:ascii="Arial" w:hAnsi="Arial" w:cs="Arial"/>
          <w:szCs w:val="20"/>
          <w:vertAlign w:val="subscript"/>
        </w:rPr>
        <w:t>2</w:t>
      </w:r>
      <w:r w:rsidRPr="004B42FA">
        <w:rPr>
          <w:rFonts w:ascii="Arial" w:hAnsi="Arial" w:cs="Arial"/>
          <w:szCs w:val="20"/>
        </w:rPr>
        <w:t xml:space="preserve"> byly naměřeny dle technických požadavků a specifikací evropských směrnic (EC) 715/2007 a (EC) 692/2008 v aktuálním znění. Uváděné hodnoty spotřeby paliva a emisí CO</w:t>
      </w:r>
      <w:r w:rsidRPr="004B42FA">
        <w:rPr>
          <w:rFonts w:ascii="Arial" w:hAnsi="Arial" w:cs="Arial"/>
          <w:szCs w:val="20"/>
          <w:vertAlign w:val="subscript"/>
        </w:rPr>
        <w:t>2</w:t>
      </w:r>
      <w:r w:rsidRPr="004B42FA">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4B42FA">
        <w:rPr>
          <w:rFonts w:ascii="Arial" w:hAnsi="Arial" w:cs="Arial"/>
          <w:szCs w:val="20"/>
          <w:vertAlign w:val="subscript"/>
        </w:rPr>
        <w:t>2</w:t>
      </w:r>
      <w:r w:rsidRPr="004B42FA">
        <w:rPr>
          <w:rFonts w:ascii="Arial" w:hAnsi="Arial" w:cs="Arial"/>
          <w:szCs w:val="20"/>
        </w:rPr>
        <w:t xml:space="preserve"> patří k nejvýznamnějším skleníkovým plynům, způsobujícím globální oteplování.</w:t>
      </w:r>
    </w:p>
    <w:p w:rsidR="00257BFA" w:rsidRPr="004B42FA" w:rsidRDefault="00257BFA" w:rsidP="00257BFA">
      <w:pPr>
        <w:autoSpaceDE w:val="0"/>
        <w:autoSpaceDN w:val="0"/>
        <w:rPr>
          <w:rFonts w:ascii="Arial" w:hAnsi="Arial" w:cs="Arial"/>
          <w:szCs w:val="20"/>
        </w:rPr>
      </w:pPr>
    </w:p>
    <w:p w:rsidR="00257BFA" w:rsidRPr="004B42FA" w:rsidRDefault="00257BFA" w:rsidP="00257BFA">
      <w:pPr>
        <w:autoSpaceDE w:val="0"/>
        <w:autoSpaceDN w:val="0"/>
        <w:rPr>
          <w:rFonts w:ascii="Arial" w:hAnsi="Arial" w:cs="Arial"/>
          <w:b/>
          <w:bCs/>
          <w:i/>
          <w:iCs/>
          <w:szCs w:val="20"/>
        </w:rPr>
      </w:pPr>
      <w:r w:rsidRPr="004B42FA">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4B42FA">
        <w:rPr>
          <w:rFonts w:ascii="Arial" w:hAnsi="Arial" w:cs="Arial"/>
          <w:szCs w:val="20"/>
          <w:vertAlign w:val="subscript"/>
        </w:rPr>
        <w:t>2</w:t>
      </w:r>
      <w:r w:rsidRPr="004B42FA">
        <w:rPr>
          <w:rFonts w:ascii="Arial" w:hAnsi="Arial" w:cs="Arial"/>
          <w:szCs w:val="20"/>
        </w:rPr>
        <w:t xml:space="preserve">. Od 1. září 2018 WLTP </w:t>
      </w:r>
      <w:r>
        <w:rPr>
          <w:rFonts w:ascii="Arial" w:hAnsi="Arial" w:cs="Arial"/>
          <w:szCs w:val="20"/>
        </w:rPr>
        <w:t>postupně nahrazuje</w:t>
      </w:r>
      <w:r w:rsidRPr="004B42FA">
        <w:rPr>
          <w:rFonts w:ascii="Arial" w:hAnsi="Arial" w:cs="Arial"/>
          <w:szCs w:val="20"/>
        </w:rPr>
        <w:t xml:space="preserve"> </w:t>
      </w:r>
      <w:r>
        <w:rPr>
          <w:rFonts w:ascii="Arial" w:hAnsi="Arial" w:cs="Arial"/>
          <w:szCs w:val="20"/>
        </w:rPr>
        <w:t>dříve</w:t>
      </w:r>
      <w:r w:rsidRPr="004B42FA">
        <w:rPr>
          <w:rFonts w:ascii="Arial" w:hAnsi="Arial" w:cs="Arial"/>
          <w:szCs w:val="20"/>
        </w:rPr>
        <w:t xml:space="preserve"> používaný cyklus NEDC. Během přechodného období budou hodnoty zjištěné dle WLTP vztahovány k NEDC. V důsledku změny metodiky měření se objeví určité rozdíly oproti dříve udávaným hodnotám spotřeby paliva a emisí CO</w:t>
      </w:r>
      <w:r w:rsidRPr="004B42FA">
        <w:rPr>
          <w:rFonts w:ascii="Arial" w:hAnsi="Arial" w:cs="Arial"/>
          <w:szCs w:val="20"/>
          <w:vertAlign w:val="subscript"/>
        </w:rPr>
        <w:t>2</w:t>
      </w:r>
      <w:r w:rsidRPr="004B42FA">
        <w:rPr>
          <w:rFonts w:ascii="Arial" w:hAnsi="Arial" w:cs="Arial"/>
          <w:szCs w:val="20"/>
        </w:rPr>
        <w:t>. To znamená, že stejný vůz může dle nové metodiky vykazovat jiné hodnoty než dříve.</w:t>
      </w:r>
    </w:p>
    <w:p w:rsidR="00257BFA" w:rsidRPr="008F301F" w:rsidRDefault="00257BFA" w:rsidP="00257BFA">
      <w:pPr>
        <w:overflowPunct w:val="0"/>
        <w:autoSpaceDE w:val="0"/>
        <w:autoSpaceDN w:val="0"/>
        <w:adjustRightInd w:val="0"/>
        <w:textAlignment w:val="baseline"/>
        <w:rPr>
          <w:rFonts w:ascii="Arial" w:hAnsi="Arial" w:cs="Arial"/>
          <w:sz w:val="22"/>
          <w:szCs w:val="22"/>
        </w:rPr>
      </w:pPr>
    </w:p>
    <w:p w:rsidR="00FF5A06" w:rsidRDefault="00FF5A06" w:rsidP="00466C30">
      <w:pPr>
        <w:pStyle w:val="ListParagraph"/>
        <w:spacing w:line="276" w:lineRule="auto"/>
        <w:ind w:right="-24"/>
        <w:jc w:val="both"/>
        <w:rPr>
          <w:rFonts w:ascii="Arial" w:hAnsi="Arial" w:cs="Arial"/>
          <w:szCs w:val="22"/>
        </w:rPr>
      </w:pPr>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5F" w:rsidRDefault="00C3465F">
      <w:r>
        <w:separator/>
      </w:r>
    </w:p>
  </w:endnote>
  <w:endnote w:type="continuationSeparator" w:id="0">
    <w:p w:rsidR="00C3465F" w:rsidRDefault="00C3465F">
      <w:r>
        <w:continuationSeparator/>
      </w:r>
    </w:p>
  </w:endnote>
  <w:endnote w:type="continuationNotice" w:id="1">
    <w:p w:rsidR="00C3465F" w:rsidRDefault="00C34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5F" w:rsidRDefault="00C3465F">
      <w:r>
        <w:separator/>
      </w:r>
    </w:p>
  </w:footnote>
  <w:footnote w:type="continuationSeparator" w:id="0">
    <w:p w:rsidR="00C3465F" w:rsidRDefault="00C3465F">
      <w:r>
        <w:continuationSeparator/>
      </w:r>
    </w:p>
  </w:footnote>
  <w:footnote w:type="continuationNotice" w:id="1">
    <w:p w:rsidR="00C3465F" w:rsidRDefault="00C346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1C3"/>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E7CDD"/>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57BFA"/>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6C30"/>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DF0"/>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65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0CA5"/>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7F1"/>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0265C4-491B-4A40-9D85-B9E9BB14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14B6-8155-486F-812C-B9466318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6220</Characters>
  <Application>Microsoft Office Word</Application>
  <DocSecurity>4</DocSecurity>
  <Lines>51</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2019-04-29T13:15:00Z</dcterms:created>
  <dcterms:modified xsi:type="dcterms:W3CDTF">2019-04-29T13:15:00Z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