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99C" w:rsidRDefault="00D24063">
      <w:pPr>
        <w:shd w:val="clear" w:color="auto" w:fill="FFFFFF"/>
        <w:spacing w:after="270"/>
        <w:outlineLvl w:val="0"/>
        <w:rPr>
          <w:rFonts w:ascii="Helvetica Neue" w:eastAsia="Times New Roman" w:hAnsi="Helvetica Neue" w:cs="Times New Roman"/>
          <w:b/>
          <w:bCs/>
          <w:color w:val="222222"/>
          <w:kern w:val="2"/>
          <w:sz w:val="53"/>
          <w:szCs w:val="53"/>
          <w:lang w:eastAsia="cs-CZ"/>
        </w:rPr>
      </w:pPr>
      <w:r>
        <w:rPr>
          <w:noProof/>
        </w:rPr>
        <w:drawing>
          <wp:inline distT="0" distB="0" distL="0" distR="0">
            <wp:extent cx="1756410" cy="622935"/>
            <wp:effectExtent l="0" t="0" r="0" b="0"/>
            <wp:docPr id="1" name="Picture 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587" b="7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680"/>
        <w:gridCol w:w="4601"/>
      </w:tblGrid>
      <w:tr w:rsidR="00F2799C" w:rsidTr="0049455F">
        <w:tc>
          <w:tcPr>
            <w:tcW w:w="4674" w:type="dxa"/>
            <w:shd w:val="clear" w:color="auto" w:fill="auto"/>
          </w:tcPr>
          <w:tbl>
            <w:tblPr>
              <w:tblStyle w:val="Mkatabulky"/>
              <w:tblW w:w="4459" w:type="dxa"/>
              <w:tblLook w:val="04A0" w:firstRow="1" w:lastRow="0" w:firstColumn="1" w:lastColumn="0" w:noHBand="0" w:noVBand="1"/>
            </w:tblPr>
            <w:tblGrid>
              <w:gridCol w:w="1228"/>
              <w:gridCol w:w="3231"/>
            </w:tblGrid>
            <w:tr w:rsidR="00F2799C" w:rsidRPr="0049455F"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799C" w:rsidRPr="0049455F" w:rsidRDefault="00D24063">
                  <w:pPr>
                    <w:rPr>
                      <w:rFonts w:ascii="Arial" w:hAnsi="Arial" w:cs="Arial"/>
                      <w:bCs/>
                      <w:color w:val="5F5F5F"/>
                      <w:sz w:val="20"/>
                    </w:rPr>
                  </w:pPr>
                  <w:r w:rsidRPr="0049455F">
                    <w:rPr>
                      <w:rFonts w:ascii="Arial" w:eastAsia="Arial" w:hAnsi="Arial" w:cs="Arial"/>
                      <w:b/>
                      <w:bCs/>
                      <w:sz w:val="20"/>
                    </w:rPr>
                    <w:t>Kontakt: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799C" w:rsidRPr="0049455F" w:rsidRDefault="00D24063">
                  <w:pPr>
                    <w:rPr>
                      <w:rFonts w:ascii="Arial" w:hAnsi="Arial" w:cs="Arial"/>
                      <w:bCs/>
                      <w:color w:val="5F5F5F"/>
                      <w:sz w:val="20"/>
                    </w:rPr>
                  </w:pPr>
                  <w:r w:rsidRPr="0049455F">
                    <w:rPr>
                      <w:rFonts w:ascii="Arial" w:eastAsia="Arial" w:hAnsi="Arial" w:cs="Arial"/>
                      <w:sz w:val="20"/>
                    </w:rPr>
                    <w:t>Kateřina Zachová</w:t>
                  </w:r>
                </w:p>
              </w:tc>
            </w:tr>
            <w:tr w:rsidR="00F2799C" w:rsidRPr="0049455F">
              <w:trPr>
                <w:trHeight w:val="70"/>
              </w:trPr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799C" w:rsidRPr="0049455F" w:rsidRDefault="00F2799C">
                  <w:pPr>
                    <w:rPr>
                      <w:rFonts w:ascii="Arial" w:hAnsi="Arial" w:cs="Arial"/>
                      <w:b/>
                      <w:bCs/>
                      <w:color w:val="5F5F5F"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799C" w:rsidRPr="0049455F" w:rsidRDefault="00D24063">
                  <w:pPr>
                    <w:rPr>
                      <w:rFonts w:ascii="Arial" w:hAnsi="Arial" w:cs="Arial"/>
                      <w:b/>
                      <w:bCs/>
                      <w:color w:val="5F5F5F"/>
                      <w:sz w:val="20"/>
                    </w:rPr>
                  </w:pPr>
                  <w:r w:rsidRPr="0049455F">
                    <w:rPr>
                      <w:rFonts w:ascii="Arial" w:eastAsia="Arial" w:hAnsi="Arial" w:cs="Arial"/>
                      <w:sz w:val="20"/>
                    </w:rPr>
                    <w:t>+420 605 570 890</w:t>
                  </w:r>
                </w:p>
              </w:tc>
            </w:tr>
            <w:tr w:rsidR="00F2799C" w:rsidRPr="0049455F"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799C" w:rsidRPr="0049455F" w:rsidRDefault="00F2799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799C" w:rsidRPr="0049455F" w:rsidRDefault="00D24063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49455F">
                    <w:rPr>
                      <w:rFonts w:ascii="Arial" w:eastAsia="Arial" w:hAnsi="Arial" w:cs="Arial"/>
                      <w:sz w:val="20"/>
                    </w:rPr>
                    <w:t>corporateaffairsczsk@mdlz.com</w:t>
                  </w:r>
                </w:p>
              </w:tc>
            </w:tr>
          </w:tbl>
          <w:p w:rsidR="00F2799C" w:rsidRPr="0049455F" w:rsidRDefault="00F2799C">
            <w:pPr>
              <w:rPr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2799C" w:rsidRPr="0049455F" w:rsidRDefault="00D240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9455F">
              <w:rPr>
                <w:rFonts w:ascii="Arial" w:eastAsia="Arial" w:hAnsi="Arial" w:cs="Arial"/>
                <w:sz w:val="20"/>
                <w:szCs w:val="20"/>
              </w:rPr>
              <w:t xml:space="preserve">Dana </w:t>
            </w:r>
            <w:proofErr w:type="spellStart"/>
            <w:r w:rsidRPr="0049455F">
              <w:rPr>
                <w:rFonts w:ascii="Arial" w:eastAsia="Arial" w:hAnsi="Arial" w:cs="Arial"/>
                <w:sz w:val="20"/>
                <w:szCs w:val="20"/>
              </w:rPr>
              <w:t>Tučková</w:t>
            </w:r>
            <w:proofErr w:type="spellEnd"/>
            <w:r w:rsidRPr="0049455F">
              <w:rPr>
                <w:rFonts w:ascii="Arial" w:eastAsia="Arial" w:hAnsi="Arial" w:cs="Arial"/>
                <w:sz w:val="20"/>
                <w:szCs w:val="20"/>
              </w:rPr>
              <w:t>, Native PR</w:t>
            </w:r>
          </w:p>
          <w:p w:rsidR="00F2799C" w:rsidRPr="0049455F" w:rsidRDefault="00D2406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9455F">
              <w:rPr>
                <w:rFonts w:ascii="Arial" w:eastAsia="Arial" w:hAnsi="Arial" w:cs="Arial"/>
                <w:sz w:val="20"/>
                <w:szCs w:val="20"/>
              </w:rPr>
              <w:t>+ 420 773 979 562</w:t>
            </w:r>
          </w:p>
          <w:p w:rsidR="00F2799C" w:rsidRDefault="00D24063">
            <w:pPr>
              <w:rPr>
                <w:sz w:val="20"/>
                <w:szCs w:val="20"/>
              </w:rPr>
            </w:pPr>
            <w:r w:rsidRPr="0049455F">
              <w:rPr>
                <w:rFonts w:ascii="Arial" w:eastAsia="Arial" w:hAnsi="Arial" w:cs="Arial"/>
                <w:sz w:val="20"/>
                <w:szCs w:val="20"/>
              </w:rPr>
              <w:t>dana.tuckova@nativepr.cz</w:t>
            </w:r>
          </w:p>
        </w:tc>
      </w:tr>
    </w:tbl>
    <w:p w:rsidR="00F2799C" w:rsidRDefault="00F2799C">
      <w:pPr>
        <w:shd w:val="clear" w:color="auto" w:fill="FFFFFF"/>
        <w:spacing w:after="270"/>
        <w:outlineLvl w:val="0"/>
        <w:rPr>
          <w:rFonts w:ascii="Helvetica Neue" w:eastAsia="Times New Roman" w:hAnsi="Helvetica Neue" w:cs="Times New Roman"/>
          <w:b/>
          <w:bCs/>
          <w:color w:val="222222"/>
          <w:kern w:val="2"/>
          <w:sz w:val="21"/>
          <w:szCs w:val="21"/>
          <w:lang w:eastAsia="cs-CZ"/>
        </w:rPr>
      </w:pPr>
    </w:p>
    <w:p w:rsidR="00F2799C" w:rsidRPr="002A3163" w:rsidRDefault="00D24063">
      <w:pPr>
        <w:jc w:val="center"/>
      </w:pPr>
      <w:r w:rsidRPr="002A3163">
        <w:rPr>
          <w:rFonts w:ascii="Arial" w:hAnsi="Arial" w:cs="Arial"/>
          <w:b/>
          <w:color w:val="4F2170"/>
          <w:sz w:val="28"/>
          <w:szCs w:val="28"/>
        </w:rPr>
        <w:t>Milka podpoří dětskou léčebnu Českého červeného kříže v Bukovanech</w:t>
      </w:r>
    </w:p>
    <w:p w:rsidR="00F2799C" w:rsidRDefault="00F2799C">
      <w:pPr>
        <w:jc w:val="center"/>
        <w:rPr>
          <w:rFonts w:ascii="Arial" w:hAnsi="Arial" w:cs="Arial"/>
          <w:b/>
          <w:color w:val="4F2170"/>
          <w:sz w:val="28"/>
          <w:szCs w:val="28"/>
        </w:rPr>
      </w:pPr>
    </w:p>
    <w:p w:rsidR="00F2799C" w:rsidRDefault="00D24063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4F2170"/>
          <w:sz w:val="20"/>
        </w:rPr>
      </w:pPr>
      <w:r>
        <w:rPr>
          <w:rFonts w:ascii="Arial" w:hAnsi="Arial" w:cs="Arial"/>
          <w:b/>
          <w:color w:val="4F2170"/>
          <w:sz w:val="20"/>
        </w:rPr>
        <w:t xml:space="preserve">V soutěži s Milkou se každý den až do konce prázdnin hraje o 5 tisíc korun   </w:t>
      </w:r>
    </w:p>
    <w:p w:rsidR="00F2799C" w:rsidRDefault="00D24063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4F2170"/>
          <w:sz w:val="20"/>
          <w:szCs w:val="20"/>
        </w:rPr>
      </w:pPr>
      <w:r>
        <w:rPr>
          <w:rFonts w:ascii="Arial" w:hAnsi="Arial" w:cs="Arial"/>
          <w:b/>
          <w:color w:val="4F2170"/>
          <w:sz w:val="20"/>
          <w:szCs w:val="20"/>
        </w:rPr>
        <w:t xml:space="preserve">Stejnou částku pak výrobce produktů Milka, společnost </w:t>
      </w:r>
      <w:proofErr w:type="spellStart"/>
      <w:r>
        <w:rPr>
          <w:rFonts w:ascii="Arial" w:hAnsi="Arial" w:cs="Arial"/>
          <w:b/>
          <w:color w:val="4F2170"/>
          <w:sz w:val="20"/>
          <w:szCs w:val="20"/>
        </w:rPr>
        <w:t>Mondelez</w:t>
      </w:r>
      <w:proofErr w:type="spellEnd"/>
      <w:r>
        <w:rPr>
          <w:rFonts w:ascii="Arial" w:hAnsi="Arial" w:cs="Arial"/>
          <w:b/>
          <w:color w:val="4F2170"/>
          <w:sz w:val="20"/>
          <w:szCs w:val="20"/>
        </w:rPr>
        <w:t>, daruje Českému červenému kříži</w:t>
      </w:r>
    </w:p>
    <w:p w:rsidR="00F2799C" w:rsidRDefault="00D24063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4F2170"/>
          <w:sz w:val="20"/>
          <w:szCs w:val="20"/>
        </w:rPr>
      </w:pPr>
      <w:r>
        <w:rPr>
          <w:rFonts w:ascii="Arial" w:hAnsi="Arial" w:cs="Arial"/>
          <w:b/>
          <w:color w:val="4F2170"/>
          <w:sz w:val="20"/>
          <w:szCs w:val="20"/>
        </w:rPr>
        <w:t>Na nákup nových diagnostických přístrojů a obnovu technického vybavení pro Dětskou odbornou léčebnu Charlotty G. Masarykové v Bukovanech poputuje téměř 300 tisíc korun</w:t>
      </w:r>
    </w:p>
    <w:p w:rsidR="00F2799C" w:rsidRDefault="00F2799C">
      <w:pPr>
        <w:spacing w:line="360" w:lineRule="auto"/>
        <w:rPr>
          <w:rFonts w:ascii="Arial" w:hAnsi="Arial" w:cs="Arial"/>
          <w:sz w:val="20"/>
          <w:szCs w:val="20"/>
        </w:rPr>
      </w:pPr>
    </w:p>
    <w:p w:rsidR="00F2799C" w:rsidRDefault="00D2406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srpna 2020 - Značka čokolád a sušenek Milka startuje o letošních prázdninách novou spotřebitelskou soutěž s názvem „Čas na jemnost“. Každý den od 3. srpna do konce září získá jeden vylosovaný soutěžící, který zakoupí libovolný výrobek značky Milka a svoji účtenku nahraje na stránce Milka.cz, částku pět tisíc korun. Stejnou sumu pak výrobce produktů Milka, společnost </w:t>
      </w:r>
      <w:proofErr w:type="spellStart"/>
      <w:r>
        <w:rPr>
          <w:rFonts w:ascii="Arial" w:hAnsi="Arial" w:cs="Arial"/>
          <w:sz w:val="20"/>
          <w:szCs w:val="20"/>
        </w:rPr>
        <w:t>Mondelez</w:t>
      </w:r>
      <w:proofErr w:type="spellEnd"/>
      <w:r>
        <w:rPr>
          <w:rFonts w:ascii="Arial" w:hAnsi="Arial" w:cs="Arial"/>
          <w:sz w:val="20"/>
          <w:szCs w:val="20"/>
        </w:rPr>
        <w:t xml:space="preserve">, následně daruje Českému červenému kříži. Ten tak za dobu konání soutěže dostane celkem 295 tisíc korun. Rozšířením spotřebitelské soutěže o finanční pomoc Českému červenému kříži navazuje Milka na předchozí spolupráci z jara letošního roku, kdy v souvislosti s pandemií </w:t>
      </w:r>
      <w:proofErr w:type="spellStart"/>
      <w:r>
        <w:rPr>
          <w:rFonts w:ascii="Arial" w:hAnsi="Arial" w:cs="Arial"/>
          <w:sz w:val="20"/>
          <w:szCs w:val="20"/>
        </w:rPr>
        <w:t>koronaviru</w:t>
      </w:r>
      <w:proofErr w:type="spellEnd"/>
      <w:r>
        <w:rPr>
          <w:rFonts w:ascii="Arial" w:hAnsi="Arial" w:cs="Arial"/>
          <w:sz w:val="20"/>
          <w:szCs w:val="20"/>
        </w:rPr>
        <w:t xml:space="preserve"> darovala této organizaci 200 tisíc korun a tunu produktů. </w:t>
      </w:r>
    </w:p>
    <w:p w:rsidR="00F2799C" w:rsidRDefault="00D24063">
      <w:pPr>
        <w:spacing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„Jsme velmi rádi, že se na nás značka Milka obrátila s nabídkou pomoci už podruhé během letošního roku. Slíbené finanční prostředky </w:t>
      </w:r>
      <w:r w:rsidRPr="002A3163">
        <w:rPr>
          <w:rFonts w:ascii="Arial" w:hAnsi="Arial" w:cs="Arial"/>
          <w:sz w:val="20"/>
          <w:szCs w:val="20"/>
        </w:rPr>
        <w:t>využijeme na nákup potřebných diagnostických přístrojů pro Dětskou odbornou léčebnu Charlotty G. Masarykové v Bukovanech a dále na obnovu technického vybavení léčebny,</w:t>
      </w:r>
      <w:r>
        <w:rPr>
          <w:rFonts w:ascii="Arial" w:hAnsi="Arial" w:cs="Arial"/>
          <w:sz w:val="20"/>
          <w:szCs w:val="20"/>
        </w:rPr>
        <w:t xml:space="preserve"> kde se léčí děti ve věku od 1 roku do 18 let s chronickými nemocemi dýchacích cest, astmatem, alergiemi, kožními nemocemi, ale také s výživovými poruchami,“ říká Miroslava </w:t>
      </w:r>
      <w:proofErr w:type="spellStart"/>
      <w:r>
        <w:rPr>
          <w:rFonts w:ascii="Arial" w:hAnsi="Arial" w:cs="Arial"/>
          <w:sz w:val="20"/>
          <w:szCs w:val="20"/>
        </w:rPr>
        <w:t>Jirůtková</w:t>
      </w:r>
      <w:proofErr w:type="spellEnd"/>
      <w:r>
        <w:rPr>
          <w:rFonts w:ascii="Arial" w:hAnsi="Arial" w:cs="Arial"/>
          <w:sz w:val="20"/>
          <w:szCs w:val="20"/>
        </w:rPr>
        <w:t>, vedoucí Programového oddělení Českého červeného kříže. </w:t>
      </w:r>
    </w:p>
    <w:p w:rsidR="00F2799C" w:rsidRDefault="00D2406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Kampaň poběží od 3. srpna do 3</w:t>
      </w:r>
      <w:r w:rsidR="004C10C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září na </w:t>
      </w:r>
      <w:proofErr w:type="spellStart"/>
      <w:r>
        <w:rPr>
          <w:rFonts w:ascii="Arial" w:hAnsi="Arial" w:cs="Arial"/>
          <w:sz w:val="20"/>
          <w:szCs w:val="20"/>
        </w:rPr>
        <w:t>Instagramu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facebooku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Youtube</w:t>
      </w:r>
      <w:proofErr w:type="spellEnd"/>
      <w:r>
        <w:rPr>
          <w:rFonts w:ascii="Arial" w:hAnsi="Arial" w:cs="Arial"/>
          <w:sz w:val="20"/>
          <w:szCs w:val="20"/>
        </w:rPr>
        <w:t xml:space="preserve">, kde se o </w:t>
      </w:r>
      <w:proofErr w:type="spellStart"/>
      <w:r>
        <w:rPr>
          <w:rFonts w:ascii="Arial" w:hAnsi="Arial" w:cs="Arial"/>
          <w:sz w:val="20"/>
          <w:szCs w:val="20"/>
        </w:rPr>
        <w:t>promo</w:t>
      </w:r>
      <w:proofErr w:type="spellEnd"/>
      <w:r>
        <w:rPr>
          <w:rFonts w:ascii="Arial" w:hAnsi="Arial" w:cs="Arial"/>
          <w:sz w:val="20"/>
          <w:szCs w:val="20"/>
        </w:rPr>
        <w:t xml:space="preserve"> soutěže postarají ambasadoři značky Milka: </w:t>
      </w:r>
      <w:proofErr w:type="spellStart"/>
      <w:r>
        <w:rPr>
          <w:rFonts w:ascii="Arial" w:hAnsi="Arial" w:cs="Arial"/>
          <w:sz w:val="20"/>
          <w:szCs w:val="20"/>
        </w:rPr>
        <w:t>influencerka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Little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Kao</w:t>
      </w:r>
      <w:proofErr w:type="spellEnd"/>
      <w:r>
        <w:rPr>
          <w:rFonts w:ascii="Arial" w:hAnsi="Arial" w:cs="Arial"/>
          <w:sz w:val="20"/>
          <w:szCs w:val="20"/>
        </w:rPr>
        <w:t xml:space="preserve"> se svým přítelem, oblíbeným </w:t>
      </w:r>
      <w:proofErr w:type="spellStart"/>
      <w:r>
        <w:rPr>
          <w:rFonts w:ascii="Arial" w:hAnsi="Arial" w:cs="Arial"/>
          <w:sz w:val="20"/>
          <w:szCs w:val="20"/>
        </w:rPr>
        <w:t>influencerem</w:t>
      </w:r>
      <w:proofErr w:type="spellEnd"/>
      <w:r>
        <w:rPr>
          <w:rFonts w:ascii="Arial" w:hAnsi="Arial" w:cs="Arial"/>
          <w:sz w:val="20"/>
          <w:szCs w:val="20"/>
        </w:rPr>
        <w:t xml:space="preserve"> Jirkou Králem, </w:t>
      </w:r>
      <w:proofErr w:type="spellStart"/>
      <w:r>
        <w:rPr>
          <w:rFonts w:ascii="Arial" w:hAnsi="Arial" w:cs="Arial"/>
          <w:sz w:val="20"/>
          <w:szCs w:val="20"/>
        </w:rPr>
        <w:t>youtuberka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influencerka</w:t>
      </w:r>
      <w:proofErr w:type="spellEnd"/>
      <w:r>
        <w:rPr>
          <w:rFonts w:ascii="Arial" w:hAnsi="Arial" w:cs="Arial"/>
          <w:sz w:val="20"/>
          <w:szCs w:val="20"/>
        </w:rPr>
        <w:t xml:space="preserve"> Aneta Chroustová a </w:t>
      </w:r>
      <w:proofErr w:type="spellStart"/>
      <w:r>
        <w:rPr>
          <w:rFonts w:ascii="Arial" w:hAnsi="Arial" w:cs="Arial"/>
          <w:sz w:val="20"/>
          <w:szCs w:val="20"/>
        </w:rPr>
        <w:t>influencer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youtuber</w:t>
      </w:r>
      <w:proofErr w:type="spellEnd"/>
      <w:r>
        <w:rPr>
          <w:rFonts w:ascii="Arial" w:hAnsi="Arial" w:cs="Arial"/>
          <w:sz w:val="20"/>
          <w:szCs w:val="20"/>
        </w:rPr>
        <w:t xml:space="preserve"> Adam Mach. Většina z nich spolupracovala s Milkou již při minulých kampaních, a propojení s Českým červeným křížem vnímají jako správnou věc.</w:t>
      </w:r>
    </w:p>
    <w:p w:rsidR="00F2799C" w:rsidRDefault="00D2406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„Mám radost, že se nám podařilo v krátkém čase přijít s kampaní, která v době, kdy se stále potýkáme s následky pandemie </w:t>
      </w:r>
      <w:proofErr w:type="spellStart"/>
      <w:r>
        <w:rPr>
          <w:rFonts w:ascii="Arial" w:hAnsi="Arial" w:cs="Arial"/>
          <w:sz w:val="20"/>
          <w:szCs w:val="20"/>
        </w:rPr>
        <w:t>koronaviru</w:t>
      </w:r>
      <w:proofErr w:type="spellEnd"/>
      <w:r>
        <w:rPr>
          <w:rFonts w:ascii="Arial" w:hAnsi="Arial" w:cs="Arial"/>
          <w:sz w:val="20"/>
          <w:szCs w:val="20"/>
        </w:rPr>
        <w:t xml:space="preserve">, přináší našim spotřebitelům radost v podobě každodenní pěti tisícové výhry,“ říká Jakub Barvínek, </w:t>
      </w:r>
      <w:proofErr w:type="spellStart"/>
      <w:r>
        <w:rPr>
          <w:rFonts w:ascii="Arial" w:hAnsi="Arial" w:cs="Arial"/>
          <w:sz w:val="20"/>
          <w:szCs w:val="20"/>
        </w:rPr>
        <w:t>brand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24063">
        <w:rPr>
          <w:rFonts w:ascii="Arial" w:hAnsi="Arial" w:cs="Arial"/>
          <w:sz w:val="20"/>
          <w:szCs w:val="20"/>
        </w:rPr>
        <w:t>tabulkových čokolád Milka</w:t>
      </w:r>
      <w:r>
        <w:rPr>
          <w:rFonts w:ascii="Arial" w:hAnsi="Arial" w:cs="Arial"/>
          <w:sz w:val="20"/>
          <w:szCs w:val="20"/>
        </w:rPr>
        <w:t xml:space="preserve"> a dodává „navíc prostřednictvím Českého červeného kříže a Slovenského červeného </w:t>
      </w:r>
      <w:proofErr w:type="spellStart"/>
      <w:r>
        <w:rPr>
          <w:rFonts w:ascii="Arial" w:hAnsi="Arial" w:cs="Arial"/>
          <w:sz w:val="20"/>
          <w:szCs w:val="20"/>
        </w:rPr>
        <w:t>kríže</w:t>
      </w:r>
      <w:proofErr w:type="spellEnd"/>
      <w:r>
        <w:rPr>
          <w:rFonts w:ascii="Arial" w:hAnsi="Arial" w:cs="Arial"/>
          <w:sz w:val="20"/>
          <w:szCs w:val="20"/>
        </w:rPr>
        <w:t>, kterým darujeme stejnou sumu jako našim soutěžícím, se dostane pomoc těm, kteří to potřebují nejvíce.“</w:t>
      </w:r>
    </w:p>
    <w:p w:rsidR="00F2799C" w:rsidRDefault="00F2799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2799C" w:rsidRDefault="00D2406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Realizaci kampaně, která poběží v Čechách i na Slovensku, zajišťuje agentura </w:t>
      </w:r>
      <w:proofErr w:type="spellStart"/>
      <w:r>
        <w:rPr>
          <w:rFonts w:ascii="Arial" w:hAnsi="Arial" w:cs="Arial"/>
          <w:sz w:val="20"/>
          <w:szCs w:val="20"/>
        </w:rPr>
        <w:t>Peppermint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2799C" w:rsidRDefault="00F2799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799C" w:rsidRDefault="00D24063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Tiskové zprávy společnosti </w:t>
      </w:r>
      <w:proofErr w:type="spellStart"/>
      <w:r>
        <w:rPr>
          <w:rFonts w:ascii="Arial" w:hAnsi="Arial" w:cs="Arial"/>
          <w:sz w:val="20"/>
          <w:szCs w:val="20"/>
        </w:rPr>
        <w:t>Mondelez</w:t>
      </w:r>
      <w:proofErr w:type="spellEnd"/>
      <w:r>
        <w:rPr>
          <w:rFonts w:ascii="Arial" w:hAnsi="Arial" w:cs="Arial"/>
          <w:sz w:val="20"/>
          <w:szCs w:val="20"/>
        </w:rPr>
        <w:t xml:space="preserve"> najdete zde: </w:t>
      </w:r>
      <w:hyperlink r:id="rId6">
        <w:r>
          <w:rPr>
            <w:rStyle w:val="ListLabel8"/>
          </w:rPr>
          <w:t>http://www.mynewsdesk.com/cz/mondelez-cz-sk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2799C" w:rsidRDefault="00F2799C">
      <w:pPr>
        <w:rPr>
          <w:rFonts w:ascii="Arial" w:eastAsia="Arial,Times New Roman" w:hAnsi="Arial" w:cs="Arial"/>
          <w:b/>
          <w:bCs/>
          <w:sz w:val="20"/>
          <w:szCs w:val="20"/>
        </w:rPr>
      </w:pPr>
    </w:p>
    <w:p w:rsidR="00F2799C" w:rsidRDefault="00D24063">
      <w:pPr>
        <w:rPr>
          <w:rFonts w:ascii="Arial" w:eastAsia="Arial,Times New Roman" w:hAnsi="Arial" w:cs="Arial"/>
          <w:b/>
          <w:bCs/>
          <w:sz w:val="20"/>
          <w:szCs w:val="20"/>
        </w:rPr>
      </w:pPr>
      <w:r>
        <w:rPr>
          <w:rFonts w:ascii="Arial" w:eastAsia="Arial,Times New Roman" w:hAnsi="Arial" w:cs="Arial"/>
          <w:b/>
          <w:bCs/>
          <w:sz w:val="20"/>
          <w:szCs w:val="20"/>
        </w:rPr>
        <w:t xml:space="preserve">O společnosti </w:t>
      </w:r>
      <w:proofErr w:type="spellStart"/>
      <w:r>
        <w:rPr>
          <w:rFonts w:ascii="Arial" w:eastAsia="Arial,Times New Roman" w:hAnsi="Arial" w:cs="Arial"/>
          <w:b/>
          <w:bCs/>
          <w:sz w:val="20"/>
          <w:szCs w:val="20"/>
        </w:rPr>
        <w:t>Mondelez</w:t>
      </w:r>
      <w:proofErr w:type="spellEnd"/>
      <w:r>
        <w:rPr>
          <w:rFonts w:ascii="Arial" w:eastAsia="Arial,Times New Roman" w:hAnsi="Arial" w:cs="Arial"/>
          <w:b/>
          <w:bCs/>
          <w:sz w:val="20"/>
          <w:szCs w:val="20"/>
        </w:rPr>
        <w:t xml:space="preserve"> Czech Republic </w:t>
      </w:r>
    </w:p>
    <w:p w:rsidR="00F2799C" w:rsidRDefault="00F2799C">
      <w:pPr>
        <w:rPr>
          <w:rFonts w:ascii="Arial" w:eastAsia="Arial,Times New Roman" w:hAnsi="Arial" w:cs="Arial"/>
          <w:b/>
          <w:bCs/>
          <w:sz w:val="20"/>
          <w:szCs w:val="20"/>
        </w:rPr>
      </w:pPr>
    </w:p>
    <w:p w:rsidR="00F2799C" w:rsidRDefault="00D240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 </w:t>
      </w:r>
      <w:proofErr w:type="spellStart"/>
      <w:r>
        <w:rPr>
          <w:rFonts w:ascii="Arial" w:hAnsi="Arial" w:cs="Arial"/>
          <w:sz w:val="20"/>
          <w:szCs w:val="20"/>
        </w:rPr>
        <w:t>Mondelez</w:t>
      </w:r>
      <w:proofErr w:type="spellEnd"/>
      <w:r>
        <w:rPr>
          <w:rFonts w:ascii="Arial" w:hAnsi="Arial" w:cs="Arial"/>
          <w:sz w:val="20"/>
          <w:szCs w:val="20"/>
        </w:rPr>
        <w:t xml:space="preserve"> Czech Republic, s.r.o., je součástí skupiny společností </w:t>
      </w:r>
      <w:proofErr w:type="spellStart"/>
      <w:r>
        <w:rPr>
          <w:rFonts w:ascii="Arial" w:hAnsi="Arial" w:cs="Arial"/>
          <w:sz w:val="20"/>
          <w:szCs w:val="20"/>
        </w:rPr>
        <w:t>Mondelēz</w:t>
      </w:r>
      <w:proofErr w:type="spellEnd"/>
      <w:r>
        <w:rPr>
          <w:rFonts w:ascii="Arial" w:hAnsi="Arial" w:cs="Arial"/>
          <w:sz w:val="20"/>
          <w:szCs w:val="20"/>
        </w:rPr>
        <w:t xml:space="preserve"> International, která je předním světovým výrobcem cukrovinek a pečených produktů. Skupina v současné době zaměstnává více než 80 tisíc lidí a své výrobky prodává ve 150 zemích světa. Mezi její nejznámější značky patří čokolády Milka a Cadbury, sušenky </w:t>
      </w:r>
      <w:proofErr w:type="spellStart"/>
      <w:r>
        <w:rPr>
          <w:rFonts w:ascii="Arial" w:hAnsi="Arial" w:cs="Arial"/>
          <w:sz w:val="20"/>
          <w:szCs w:val="20"/>
        </w:rPr>
        <w:t>Oreo</w:t>
      </w:r>
      <w:proofErr w:type="spellEnd"/>
      <w:r>
        <w:rPr>
          <w:rFonts w:ascii="Arial" w:hAnsi="Arial" w:cs="Arial"/>
          <w:sz w:val="20"/>
          <w:szCs w:val="20"/>
        </w:rPr>
        <w:t xml:space="preserve"> a LU nebo žvýkačky Trident. Do portfolia produktů na českém a slovenském trhu patří značky </w:t>
      </w:r>
      <w:proofErr w:type="spellStart"/>
      <w:r>
        <w:rPr>
          <w:rFonts w:ascii="Arial" w:hAnsi="Arial" w:cs="Arial"/>
          <w:sz w:val="20"/>
          <w:szCs w:val="20"/>
        </w:rPr>
        <w:t>BeBe</w:t>
      </w:r>
      <w:proofErr w:type="spellEnd"/>
      <w:r>
        <w:rPr>
          <w:rFonts w:ascii="Arial" w:hAnsi="Arial" w:cs="Arial"/>
          <w:sz w:val="20"/>
          <w:szCs w:val="20"/>
        </w:rPr>
        <w:t xml:space="preserve"> Dobré ráno, Opavia, </w:t>
      </w:r>
      <w:proofErr w:type="spellStart"/>
      <w:r>
        <w:rPr>
          <w:rFonts w:ascii="Arial" w:hAnsi="Arial" w:cs="Arial"/>
          <w:sz w:val="20"/>
          <w:szCs w:val="20"/>
        </w:rPr>
        <w:t>Brumík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Fidorka</w:t>
      </w:r>
      <w:proofErr w:type="spellEnd"/>
      <w:r>
        <w:rPr>
          <w:rFonts w:ascii="Arial" w:hAnsi="Arial" w:cs="Arial"/>
          <w:sz w:val="20"/>
          <w:szCs w:val="20"/>
        </w:rPr>
        <w:t xml:space="preserve">, Figaro, </w:t>
      </w:r>
      <w:proofErr w:type="spellStart"/>
      <w:r>
        <w:rPr>
          <w:rFonts w:ascii="Arial" w:hAnsi="Arial" w:cs="Arial"/>
          <w:sz w:val="20"/>
          <w:szCs w:val="20"/>
        </w:rPr>
        <w:t>Halls</w:t>
      </w:r>
      <w:proofErr w:type="spellEnd"/>
      <w:r>
        <w:rPr>
          <w:rFonts w:ascii="Arial" w:hAnsi="Arial" w:cs="Arial"/>
          <w:sz w:val="20"/>
          <w:szCs w:val="20"/>
        </w:rPr>
        <w:t xml:space="preserve">, Kolonáda, Miňonky či TUC. </w:t>
      </w:r>
      <w:proofErr w:type="spellStart"/>
      <w:r>
        <w:rPr>
          <w:rFonts w:ascii="Arial" w:hAnsi="Arial" w:cs="Arial"/>
          <w:sz w:val="20"/>
          <w:szCs w:val="20"/>
        </w:rPr>
        <w:t>Mondelēz</w:t>
      </w:r>
      <w:proofErr w:type="spellEnd"/>
      <w:r>
        <w:rPr>
          <w:rFonts w:ascii="Arial" w:hAnsi="Arial" w:cs="Arial"/>
          <w:sz w:val="20"/>
          <w:szCs w:val="20"/>
        </w:rPr>
        <w:t xml:space="preserve"> International je v České republice a na Slovensku jedničkou ve výrobě cukrovinek a pečených produktů. Ve čtyřech továrnách, dvou obchodních jednotkách a centru sdílených služeb zaměstnává téměř 2,5 tisíce lidí. Obchodní zastoupení firmy zde prodává 500 produktů pod 16 značkami. </w:t>
      </w:r>
    </w:p>
    <w:p w:rsidR="00F2799C" w:rsidRDefault="00D24063">
      <w:r>
        <w:rPr>
          <w:rFonts w:ascii="Arial" w:hAnsi="Arial" w:cs="Arial"/>
          <w:sz w:val="20"/>
          <w:szCs w:val="20"/>
        </w:rPr>
        <w:t xml:space="preserve">Více na: </w:t>
      </w:r>
      <w:hyperlink r:id="rId7">
        <w:r>
          <w:rPr>
            <w:rStyle w:val="Internetovodkaz"/>
            <w:rFonts w:ascii="Arial" w:hAnsi="Arial" w:cs="Arial"/>
            <w:sz w:val="20"/>
            <w:szCs w:val="20"/>
          </w:rPr>
          <w:t>www.mondelezinternational.com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>
        <w:r>
          <w:rPr>
            <w:rStyle w:val="Internetovodkaz"/>
            <w:rFonts w:ascii="Arial" w:hAnsi="Arial" w:cs="Arial"/>
            <w:sz w:val="20"/>
            <w:szCs w:val="20"/>
          </w:rPr>
          <w:t>www.facebook.com/mondelezinternational</w:t>
        </w:r>
      </w:hyperlink>
      <w:r>
        <w:rPr>
          <w:rFonts w:ascii="Arial" w:hAnsi="Arial" w:cs="Arial"/>
          <w:sz w:val="20"/>
          <w:szCs w:val="20"/>
        </w:rPr>
        <w:t xml:space="preserve"> a </w:t>
      </w:r>
      <w:hyperlink r:id="rId9">
        <w:r>
          <w:rPr>
            <w:rStyle w:val="Internetovodkaz"/>
            <w:rFonts w:ascii="Arial" w:hAnsi="Arial" w:cs="Arial"/>
            <w:sz w:val="20"/>
            <w:szCs w:val="20"/>
          </w:rPr>
          <w:t>www.twitter.com/MDLZ</w:t>
        </w:r>
      </w:hyperlink>
    </w:p>
    <w:p w:rsidR="00F2799C" w:rsidRDefault="00F2799C"/>
    <w:p w:rsidR="00F2799C" w:rsidRDefault="00F2799C"/>
    <w:p w:rsidR="00F2799C" w:rsidRDefault="00D24063">
      <w:pPr>
        <w:pStyle w:val="paragraph"/>
        <w:spacing w:beforeAutospacing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 Českém červeném kříži</w:t>
      </w:r>
      <w:r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:rsidR="00F2799C" w:rsidRDefault="00D24063">
      <w:pPr>
        <w:pStyle w:val="paragraph"/>
        <w:spacing w:beforeAutospacing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:rsidR="00F2799C" w:rsidRDefault="00D240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Český červený kříž je jednou z více než 190 národních společností Mezinárodního hnutí Červeného kříže a Červeného půlměsíce. Jako hlavní spolek s celorepublikovou působností je partnerem veřejné správy pro oblast sociální, zdravotní a humanitární. V současné době má přes 15 000 členů a dobrovolníků. Mezi základní programové činnosti ČČK patří výchova obyvatelstva ke znalosti poskytování první pomoci, propagace a oceňování bezpříspěvkového dárcovství krve, poskytování sociálních služeb či pořádání rekondičních pobytů pro děti i pro seniory. ČČK v neposlední řadě působí jako další složka IZS a poskytuje pomoc v případě mimořádných událostí. </w:t>
      </w:r>
    </w:p>
    <w:p w:rsidR="00F2799C" w:rsidRDefault="00F2799C">
      <w:pPr>
        <w:spacing w:line="360" w:lineRule="auto"/>
        <w:jc w:val="both"/>
      </w:pPr>
    </w:p>
    <w:sectPr w:rsidR="00F2799C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,Times New Roman">
    <w:altName w:val="Times New Roman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4842"/>
    <w:multiLevelType w:val="multilevel"/>
    <w:tmpl w:val="B8565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41510A"/>
    <w:multiLevelType w:val="multilevel"/>
    <w:tmpl w:val="7AC670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9C"/>
    <w:rsid w:val="002A3163"/>
    <w:rsid w:val="002C4C11"/>
    <w:rsid w:val="0049455F"/>
    <w:rsid w:val="004C10CF"/>
    <w:rsid w:val="007D65A0"/>
    <w:rsid w:val="00D24063"/>
    <w:rsid w:val="00F2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967D0"/>
  <w15:docId w15:val="{FBAB1944-9278-AC44-AC3F-9A788CD2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97D2D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C5824"/>
    <w:rPr>
      <w:rFonts w:ascii="Times New Roman" w:hAnsi="Times New Roman" w:cs="Times New Roman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9B7D9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5609B1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5609B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5609B1"/>
    <w:rPr>
      <w:color w:val="954F72" w:themeColor="followedHyperlink"/>
      <w:u w:val="single"/>
    </w:rPr>
  </w:style>
  <w:style w:type="character" w:customStyle="1" w:styleId="normaltextrun">
    <w:name w:val="normaltextrun"/>
    <w:basedOn w:val="Standardnpsmoodstavce"/>
    <w:qFormat/>
    <w:rsid w:val="005E36D6"/>
  </w:style>
  <w:style w:type="character" w:customStyle="1" w:styleId="eop">
    <w:name w:val="eop"/>
    <w:basedOn w:val="Standardnpsmoodstavce"/>
    <w:qFormat/>
    <w:rsid w:val="008C1585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Arial"/>
      <w:sz w:val="20"/>
      <w:szCs w:val="20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C5824"/>
    <w:rPr>
      <w:rFonts w:ascii="Times New Roman" w:hAnsi="Times New Roman" w:cs="Times New Roman"/>
      <w:sz w:val="18"/>
      <w:szCs w:val="18"/>
    </w:rPr>
  </w:style>
  <w:style w:type="paragraph" w:styleId="Normlnweb">
    <w:name w:val="Normal (Web)"/>
    <w:basedOn w:val="Normln"/>
    <w:uiPriority w:val="99"/>
    <w:unhideWhenUsed/>
    <w:qFormat/>
    <w:rsid w:val="00FF6AE8"/>
    <w:pPr>
      <w:spacing w:beforeAutospacing="1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74AB4"/>
    <w:pPr>
      <w:ind w:left="720"/>
      <w:contextualSpacing/>
    </w:pPr>
  </w:style>
  <w:style w:type="paragraph" w:customStyle="1" w:styleId="paragraph">
    <w:name w:val="paragraph"/>
    <w:basedOn w:val="Normln"/>
    <w:qFormat/>
    <w:rsid w:val="008C1585"/>
    <w:pPr>
      <w:spacing w:beforeAutospacing="1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5609B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ondelezinternat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delezinternatio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ewsdesk.com/cz/mondelez-cz-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MDL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687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Zachova, Katerina (Contractor)</dc:creator>
  <dc:description/>
  <cp:lastModifiedBy>Zachova, Katerina (Contractor)</cp:lastModifiedBy>
  <cp:revision>7</cp:revision>
  <dcterms:created xsi:type="dcterms:W3CDTF">2020-08-01T15:26:00Z</dcterms:created>
  <dcterms:modified xsi:type="dcterms:W3CDTF">2020-08-03T13:05:00Z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