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FS Rufus" w:cs="FS Rufus" w:eastAsia="FS Rufus" w:hAnsi="FS Rufus"/>
          <w:b w:val="1"/>
          <w:color w:val="0070c0"/>
          <w:sz w:val="40"/>
          <w:szCs w:val="40"/>
        </w:rPr>
      </w:pPr>
      <w:r w:rsidDel="00000000" w:rsidR="00000000" w:rsidRPr="00000000">
        <w:rPr>
          <w:rFonts w:ascii="FS Rufus" w:cs="FS Rufus" w:eastAsia="FS Rufus" w:hAnsi="FS Rufus"/>
          <w:b w:val="1"/>
          <w:color w:val="0070c0"/>
          <w:sz w:val="40"/>
          <w:szCs w:val="40"/>
          <w:rtl w:val="0"/>
        </w:rPr>
        <w:t xml:space="preserve">Nächster dänischer Wasserversorger setzt auf das CARIX Verfahren von Veolia</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-9524</wp:posOffset>
            </wp:positionH>
            <wp:positionV relativeFrom="paragraph">
              <wp:posOffset>838200</wp:posOffset>
            </wp:positionV>
            <wp:extent cx="2743200" cy="2057400"/>
            <wp:effectExtent b="0" l="0" r="0" t="0"/>
            <wp:wrapSquare wrapText="bothSides" distB="114300" distT="114300" distL="114300" distR="114300"/>
            <wp:docPr id="4" name="image6.jpg"/>
            <a:graphic>
              <a:graphicData uri="http://schemas.openxmlformats.org/drawingml/2006/picture">
                <pic:pic>
                  <pic:nvPicPr>
                    <pic:cNvPr id="0" name="image6.jpg"/>
                    <pic:cNvPicPr preferRelativeResize="0"/>
                  </pic:nvPicPr>
                  <pic:blipFill>
                    <a:blip r:embed="rId6"/>
                    <a:srcRect b="0" l="0" r="0" t="0"/>
                    <a:stretch>
                      <a:fillRect/>
                    </a:stretch>
                  </pic:blipFill>
                  <pic:spPr>
                    <a:xfrm>
                      <a:off x="0" y="0"/>
                      <a:ext cx="2743200" cy="20574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2790825</wp:posOffset>
            </wp:positionH>
            <wp:positionV relativeFrom="paragraph">
              <wp:posOffset>838200</wp:posOffset>
            </wp:positionV>
            <wp:extent cx="3131185" cy="2057400"/>
            <wp:effectExtent b="0" l="0" r="0" t="0"/>
            <wp:wrapSquare wrapText="bothSides" distB="114300" distT="114300" distL="114300" distR="114300"/>
            <wp:docPr id="5" name="image2.jpg"/>
            <a:graphic>
              <a:graphicData uri="http://schemas.openxmlformats.org/drawingml/2006/picture">
                <pic:pic>
                  <pic:nvPicPr>
                    <pic:cNvPr id="0" name="image2.jpg"/>
                    <pic:cNvPicPr preferRelativeResize="0"/>
                  </pic:nvPicPr>
                  <pic:blipFill>
                    <a:blip r:embed="rId7"/>
                    <a:srcRect b="0" l="9579" r="2218" t="0"/>
                    <a:stretch>
                      <a:fillRect/>
                    </a:stretch>
                  </pic:blipFill>
                  <pic:spPr>
                    <a:xfrm>
                      <a:off x="0" y="0"/>
                      <a:ext cx="3131185" cy="20574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-711199</wp:posOffset>
                </wp:positionH>
                <wp:positionV relativeFrom="paragraph">
                  <wp:posOffset>1460500</wp:posOffset>
                </wp:positionV>
                <wp:extent cx="360680" cy="9113520"/>
                <wp:effectExtent b="0" l="0" r="0" t="0"/>
                <wp:wrapNone/>
                <wp:docPr id="2" name=""/>
                <a:graphic>
                  <a:graphicData uri="http://schemas.microsoft.com/office/word/2010/wordprocessingShape">
                    <wps:wsp>
                      <wps:cNvCnPr/>
                      <wps:spPr>
                        <a:xfrm flipH="1">
                          <a:off x="5292660" y="0"/>
                          <a:ext cx="106680" cy="7560000"/>
                        </a:xfrm>
                        <a:prstGeom prst="straightConnector1">
                          <a:avLst/>
                        </a:prstGeom>
                        <a:noFill/>
                        <a:ln cap="flat" cmpd="sng" w="254000">
                          <a:solidFill>
                            <a:srgbClr val="FFFFF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-711199</wp:posOffset>
                </wp:positionH>
                <wp:positionV relativeFrom="paragraph">
                  <wp:posOffset>1460500</wp:posOffset>
                </wp:positionV>
                <wp:extent cx="360680" cy="9113520"/>
                <wp:effectExtent b="0" l="0" r="0" t="0"/>
                <wp:wrapNone/>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60680" cy="91135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6692900</wp:posOffset>
                </wp:positionH>
                <wp:positionV relativeFrom="paragraph">
                  <wp:posOffset>-228599</wp:posOffset>
                </wp:positionV>
                <wp:extent cx="254000" cy="10692130"/>
                <wp:effectExtent b="0" l="0" r="0" t="0"/>
                <wp:wrapNone/>
                <wp:docPr id="3" name=""/>
                <a:graphic>
                  <a:graphicData uri="http://schemas.microsoft.com/office/word/2010/wordprocessingShape">
                    <wps:wsp>
                      <wps:cNvCnPr/>
                      <wps:spPr>
                        <a:xfrm>
                          <a:off x="5346000" y="0"/>
                          <a:ext cx="0" cy="7560000"/>
                        </a:xfrm>
                        <a:prstGeom prst="straightConnector1">
                          <a:avLst/>
                        </a:prstGeom>
                        <a:noFill/>
                        <a:ln cap="flat" cmpd="sng" w="254000">
                          <a:solidFill>
                            <a:srgbClr val="FFFFFF"/>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6692900</wp:posOffset>
                </wp:positionH>
                <wp:positionV relativeFrom="paragraph">
                  <wp:posOffset>-228599</wp:posOffset>
                </wp:positionV>
                <wp:extent cx="254000" cy="10692130"/>
                <wp:effectExtent b="0" l="0" r="0" t="0"/>
                <wp:wrapNone/>
                <wp:docPr id="3"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54000" cy="10692130"/>
                        </a:xfrm>
                        <a:prstGeom prst="rect"/>
                        <a:ln/>
                      </pic:spPr>
                    </pic:pic>
                  </a:graphicData>
                </a:graphic>
              </wp:anchor>
            </w:drawing>
          </mc:Fallback>
        </mc:AlternateContent>
      </w:r>
    </w:p>
    <w:tbl>
      <w:tblPr>
        <w:tblStyle w:val="Table1"/>
        <w:tblW w:w="9105.0" w:type="dxa"/>
        <w:jc w:val="center"/>
        <w:tblLayout w:type="fixed"/>
        <w:tblLook w:val="0000"/>
      </w:tblPr>
      <w:tblGrid>
        <w:gridCol w:w="4710"/>
        <w:gridCol w:w="105"/>
        <w:gridCol w:w="4290"/>
        <w:tblGridChange w:id="0">
          <w:tblGrid>
            <w:gridCol w:w="4710"/>
            <w:gridCol w:w="105"/>
            <w:gridCol w:w="4290"/>
          </w:tblGrid>
        </w:tblGridChange>
      </w:tblGrid>
      <w:tr>
        <w:trPr>
          <w:cantSplit w:val="0"/>
          <w:trHeight w:val="272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2">
            <w:pPr>
              <w:pageBreakBefore w:val="0"/>
              <w:tabs>
                <w:tab w:val="left" w:pos="2674"/>
              </w:tabs>
              <w:spacing w:line="360" w:lineRule="auto"/>
              <w:ind w:left="-594"/>
              <w:jc w:val="left"/>
              <w:rPr>
                <w:rFonts w:ascii="FS Rufus" w:cs="FS Rufus" w:eastAsia="FS Rufus" w:hAnsi="FS Rufus"/>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3">
            <w:pPr>
              <w:pageBreakBefore w:val="0"/>
              <w:tabs>
                <w:tab w:val="left" w:pos="2674"/>
              </w:tabs>
              <w:spacing w:line="360" w:lineRule="auto"/>
              <w:ind w:left="-594"/>
              <w:jc w:val="left"/>
              <w:rPr>
                <w:rFonts w:ascii="FS Rufus" w:cs="FS Rufus" w:eastAsia="FS Rufus" w:hAnsi="FS Rufus"/>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04">
            <w:pPr>
              <w:pageBreakBefore w:val="0"/>
              <w:tabs>
                <w:tab w:val="left" w:pos="2674"/>
              </w:tabs>
              <w:spacing w:line="360" w:lineRule="auto"/>
              <w:ind w:left="-594"/>
              <w:jc w:val="left"/>
              <w:rPr>
                <w:rFonts w:ascii="FS Rufus" w:cs="FS Rufus" w:eastAsia="FS Rufus" w:hAnsi="FS Rufus"/>
                <w:sz w:val="22"/>
                <w:szCs w:val="22"/>
              </w:rPr>
            </w:pPr>
            <w:r w:rsidDel="00000000" w:rsidR="00000000" w:rsidRPr="00000000">
              <w:rPr>
                <w:rtl w:val="0"/>
              </w:rPr>
            </w:r>
          </w:p>
        </w:tc>
      </w:tr>
    </w:tbl>
    <w:p w:rsidR="00000000" w:rsidDel="00000000" w:rsidP="00000000" w:rsidRDefault="00000000" w:rsidRPr="00000000" w14:paraId="00000005">
      <w:pPr>
        <w:pageBreakBefore w:val="0"/>
        <w:rPr>
          <w:rFonts w:ascii="FS Rufus" w:cs="FS Rufus" w:eastAsia="FS Rufus" w:hAnsi="FS Rufus"/>
          <w:b w:val="1"/>
          <w:color w:val="404040"/>
          <w:sz w:val="22"/>
          <w:szCs w:val="22"/>
        </w:rPr>
      </w:pPr>
      <w:r w:rsidDel="00000000" w:rsidR="00000000" w:rsidRPr="00000000">
        <w:rPr>
          <w:rFonts w:ascii="FS Rufus" w:cs="FS Rufus" w:eastAsia="FS Rufus" w:hAnsi="FS Rufus"/>
          <w:b w:val="1"/>
          <w:color w:val="404040"/>
          <w:sz w:val="22"/>
          <w:szCs w:val="22"/>
          <w:rtl w:val="0"/>
        </w:rPr>
        <w:t xml:space="preserve">Das Trinkwasser in Køge/ Dänemark wird künftig mit dem CARIX-Verfahren von Veolia Water Technologies enthärtet. Diese Entscheidung traf nun der Vorstand von Køge Vand A/S. Vorangegangen waren seit Anfang des Jahres Analysen zu Vor- und Nachteilen der verschiedenen Enthärtungsverfahren. Das CARIX-Verfahren von Veolia, bei dem CO</w:t>
      </w:r>
      <w:r w:rsidDel="00000000" w:rsidR="00000000" w:rsidRPr="00000000">
        <w:rPr>
          <w:rFonts w:ascii="FS Rufus" w:cs="FS Rufus" w:eastAsia="FS Rufus" w:hAnsi="FS Rufus"/>
          <w:b w:val="1"/>
          <w:color w:val="404040"/>
          <w:sz w:val="22"/>
          <w:szCs w:val="22"/>
          <w:vertAlign w:val="subscript"/>
          <w:rtl w:val="0"/>
        </w:rPr>
        <w:t xml:space="preserve">2</w:t>
      </w:r>
      <w:r w:rsidDel="00000000" w:rsidR="00000000" w:rsidRPr="00000000">
        <w:rPr>
          <w:rFonts w:ascii="FS Rufus" w:cs="FS Rufus" w:eastAsia="FS Rufus" w:hAnsi="FS Rufus"/>
          <w:b w:val="1"/>
          <w:color w:val="404040"/>
          <w:sz w:val="22"/>
          <w:szCs w:val="22"/>
          <w:rtl w:val="0"/>
        </w:rPr>
        <w:t xml:space="preserve"> zur Regeneration der Ionenaustauscher verwendet wird, schnitt dabei am umweltfreundlichsten und zugleich wirtschaftlichsten ab. Doch auch weitere Argumente konnten überzeugen.</w:t>
      </w:r>
    </w:p>
    <w:p w:rsidR="00000000" w:rsidDel="00000000" w:rsidP="00000000" w:rsidRDefault="00000000" w:rsidRPr="00000000" w14:paraId="00000006">
      <w:pPr>
        <w:pageBreakBefore w:val="0"/>
        <w:rPr>
          <w:rFonts w:ascii="FS Rufus" w:cs="FS Rufus" w:eastAsia="FS Rufus" w:hAnsi="FS Rufus"/>
          <w:color w:val="404040"/>
          <w:sz w:val="22"/>
          <w:szCs w:val="22"/>
        </w:rPr>
      </w:pPr>
      <w:r w:rsidDel="00000000" w:rsidR="00000000" w:rsidRPr="00000000">
        <w:rPr>
          <w:rtl w:val="0"/>
        </w:rPr>
      </w:r>
    </w:p>
    <w:p w:rsidR="00000000" w:rsidDel="00000000" w:rsidP="00000000" w:rsidRDefault="00000000" w:rsidRPr="00000000" w14:paraId="00000007">
      <w:pPr>
        <w:pageBreakBefore w:val="0"/>
        <w:rPr>
          <w:rFonts w:ascii="FS Rufus" w:cs="FS Rufus" w:eastAsia="FS Rufus" w:hAnsi="FS Rufus"/>
          <w:color w:val="404040"/>
          <w:sz w:val="22"/>
          <w:szCs w:val="22"/>
        </w:rPr>
      </w:pPr>
      <w:r w:rsidDel="00000000" w:rsidR="00000000" w:rsidRPr="00000000">
        <w:rPr>
          <w:rFonts w:ascii="FS Rufus" w:cs="FS Rufus" w:eastAsia="FS Rufus" w:hAnsi="FS Rufus"/>
          <w:i w:val="1"/>
          <w:color w:val="404040"/>
          <w:sz w:val="22"/>
          <w:szCs w:val="22"/>
          <w:rtl w:val="0"/>
        </w:rPr>
        <w:t xml:space="preserve">„Wir haben während des Prozesses eine Reihe von Technologien verglichen. Einige Technologien wurden nicht ausgewählt, weil sie nicht zu unserer Wasserqualität passten. Andere Technologien hatten zu viel Wasserverschwendung oder Energieverbrauch oder entsprachen nicht unseren Wünschen in Bezug auf Arbeitsumgebung und Betriebssicherheit. Am Ende blieben uns zwei mögliche Technologien, das Pellet- und das CARIX-Verfahren. Hier wurde entschieden, dass die CARIX-Anlage die meisten Punkte erfüllt, die uns besonders wichtig sind“,</w:t>
      </w:r>
      <w:r w:rsidDel="00000000" w:rsidR="00000000" w:rsidRPr="00000000">
        <w:rPr>
          <w:rFonts w:ascii="FS Rufus" w:cs="FS Rufus" w:eastAsia="FS Rufus" w:hAnsi="FS Rufus"/>
          <w:color w:val="404040"/>
          <w:sz w:val="22"/>
          <w:szCs w:val="22"/>
          <w:rtl w:val="0"/>
        </w:rPr>
        <w:t xml:space="preserve"> sagt Jesper Koziara, technischer Direktor von KLAR Forsyning. Im Juni 2022 hatte eine dänische Delegation eigens das Wasserwerk Trollmühle in Windesheim besichtigt und sich vom Verfahren vor Ort überzeugt.</w:t>
      </w:r>
    </w:p>
    <w:p w:rsidR="00000000" w:rsidDel="00000000" w:rsidP="00000000" w:rsidRDefault="00000000" w:rsidRPr="00000000" w14:paraId="00000008">
      <w:pPr>
        <w:pageBreakBefore w:val="0"/>
        <w:rPr>
          <w:rFonts w:ascii="FS Rufus" w:cs="FS Rufus" w:eastAsia="FS Rufus" w:hAnsi="FS Rufus"/>
          <w:color w:val="404040"/>
          <w:sz w:val="22"/>
          <w:szCs w:val="22"/>
        </w:rPr>
      </w:pPr>
      <w:r w:rsidDel="00000000" w:rsidR="00000000" w:rsidRPr="00000000">
        <w:rPr>
          <w:rtl w:val="0"/>
        </w:rPr>
      </w:r>
    </w:p>
    <w:p w:rsidR="00000000" w:rsidDel="00000000" w:rsidP="00000000" w:rsidRDefault="00000000" w:rsidRPr="00000000" w14:paraId="00000009">
      <w:pPr>
        <w:pageBreakBefore w:val="0"/>
        <w:rPr>
          <w:rFonts w:ascii="FS Rufus" w:cs="FS Rufus" w:eastAsia="FS Rufus" w:hAnsi="FS Rufus"/>
          <w:i w:val="1"/>
          <w:color w:val="404040"/>
          <w:sz w:val="22"/>
          <w:szCs w:val="22"/>
        </w:rPr>
      </w:pPr>
      <w:r w:rsidDel="00000000" w:rsidR="00000000" w:rsidRPr="00000000">
        <w:rPr>
          <w:rFonts w:ascii="FS Rufus" w:cs="FS Rufus" w:eastAsia="FS Rufus" w:hAnsi="FS Rufus"/>
          <w:color w:val="404040"/>
          <w:sz w:val="22"/>
          <w:szCs w:val="22"/>
          <w:rtl w:val="0"/>
        </w:rPr>
        <w:t xml:space="preserve">Koziara ergänzt: </w:t>
      </w:r>
      <w:r w:rsidDel="00000000" w:rsidR="00000000" w:rsidRPr="00000000">
        <w:rPr>
          <w:rFonts w:ascii="FS Rufus" w:cs="FS Rufus" w:eastAsia="FS Rufus" w:hAnsi="FS Rufus"/>
          <w:i w:val="1"/>
          <w:color w:val="404040"/>
          <w:sz w:val="22"/>
          <w:szCs w:val="22"/>
          <w:rtl w:val="0"/>
        </w:rPr>
        <w:t xml:space="preserve">„Der Betrieb der CARIX-Anlage gewährleistet die beste Arbeitsumgebung und erfordert nicht so viele Arbeitsstunden in Bezug auf die Überwachung und Wartung der Anlage. Auch die Betriebskosten sind bei diesem Verfahren geringer als bei anderen der von uns betrachteten Verfahren – und dies trägt somit auch dazu bei, die Tarifbelastung gering zu halten.“</w:t>
      </w:r>
    </w:p>
    <w:p w:rsidR="00000000" w:rsidDel="00000000" w:rsidP="00000000" w:rsidRDefault="00000000" w:rsidRPr="00000000" w14:paraId="0000000A">
      <w:pPr>
        <w:pageBreakBefore w:val="0"/>
        <w:rPr>
          <w:rFonts w:ascii="FS Rufus" w:cs="FS Rufus" w:eastAsia="FS Rufus" w:hAnsi="FS Rufus"/>
          <w:color w:val="404040"/>
          <w:sz w:val="22"/>
          <w:szCs w:val="22"/>
        </w:rPr>
      </w:pPr>
      <w:r w:rsidDel="00000000" w:rsidR="00000000" w:rsidRPr="00000000">
        <w:rPr>
          <w:rtl w:val="0"/>
        </w:rPr>
      </w:r>
    </w:p>
    <w:p w:rsidR="00000000" w:rsidDel="00000000" w:rsidP="00000000" w:rsidRDefault="00000000" w:rsidRPr="00000000" w14:paraId="0000000B">
      <w:pPr>
        <w:pageBreakBefore w:val="0"/>
        <w:rPr>
          <w:rFonts w:ascii="FS Rufus" w:cs="FS Rufus" w:eastAsia="FS Rufus" w:hAnsi="FS Rufus"/>
          <w:b w:val="1"/>
          <w:color w:val="404040"/>
          <w:sz w:val="22"/>
          <w:szCs w:val="22"/>
        </w:rPr>
      </w:pPr>
      <w:r w:rsidDel="00000000" w:rsidR="00000000" w:rsidRPr="00000000">
        <w:rPr>
          <w:rFonts w:ascii="FS Rufus" w:cs="FS Rufus" w:eastAsia="FS Rufus" w:hAnsi="FS Rufus"/>
          <w:b w:val="1"/>
          <w:color w:val="404040"/>
          <w:sz w:val="22"/>
          <w:szCs w:val="22"/>
          <w:rtl w:val="0"/>
        </w:rPr>
        <w:t xml:space="preserve">Ein zuverlässiges und sicheres Verfahren auch für den Arbeitsschutz</w:t>
      </w:r>
    </w:p>
    <w:p w:rsidR="00000000" w:rsidDel="00000000" w:rsidP="00000000" w:rsidRDefault="00000000" w:rsidRPr="00000000" w14:paraId="0000000C">
      <w:pPr>
        <w:pageBreakBefore w:val="0"/>
        <w:rPr>
          <w:rFonts w:ascii="FS Rufus" w:cs="FS Rufus" w:eastAsia="FS Rufus" w:hAnsi="FS Rufus"/>
          <w:color w:val="404040"/>
          <w:sz w:val="22"/>
          <w:szCs w:val="22"/>
        </w:rPr>
      </w:pPr>
      <w:r w:rsidDel="00000000" w:rsidR="00000000" w:rsidRPr="00000000">
        <w:rPr>
          <w:rtl w:val="0"/>
        </w:rPr>
      </w:r>
    </w:p>
    <w:p w:rsidR="00000000" w:rsidDel="00000000" w:rsidP="00000000" w:rsidRDefault="00000000" w:rsidRPr="00000000" w14:paraId="0000000D">
      <w:pPr>
        <w:pageBreakBefore w:val="0"/>
        <w:rPr>
          <w:rFonts w:ascii="FS Rufus" w:cs="FS Rufus" w:eastAsia="FS Rufus" w:hAnsi="FS Rufus"/>
          <w:color w:val="404040"/>
          <w:sz w:val="22"/>
          <w:szCs w:val="22"/>
        </w:rPr>
      </w:pPr>
      <w:r w:rsidDel="00000000" w:rsidR="00000000" w:rsidRPr="00000000">
        <w:rPr>
          <w:rFonts w:ascii="FS Rufus" w:cs="FS Rufus" w:eastAsia="FS Rufus" w:hAnsi="FS Rufus"/>
          <w:color w:val="404040"/>
          <w:sz w:val="22"/>
          <w:szCs w:val="22"/>
          <w:rtl w:val="0"/>
        </w:rPr>
        <w:t xml:space="preserve">Die Enthärtungstechnologie CARIX (Carbon Dioxide Regenerated Ion Exchanger) reduziert den Kalkgehalt im Wasser ohne Einsatz von Chemikalien. Solche Antiscalants wie Natronlauge kommen bei Membranverfahren zu Reinigungszwecken zum Einsatz und erfordern einen sachgerechten Umgang. Neben den niedrigeren Energiekosten und dem geringeren Wasserverlust punktet CARIX daher auch beim Arbeitsschutz.</w:t>
      </w:r>
    </w:p>
    <w:p w:rsidR="00000000" w:rsidDel="00000000" w:rsidP="00000000" w:rsidRDefault="00000000" w:rsidRPr="00000000" w14:paraId="0000000E">
      <w:pPr>
        <w:pageBreakBefore w:val="0"/>
        <w:rPr>
          <w:rFonts w:ascii="FS Rufus" w:cs="FS Rufus" w:eastAsia="FS Rufus" w:hAnsi="FS Rufus"/>
          <w:color w:val="404040"/>
          <w:sz w:val="22"/>
          <w:szCs w:val="22"/>
        </w:rPr>
      </w:pPr>
      <w:r w:rsidDel="00000000" w:rsidR="00000000" w:rsidRPr="00000000">
        <w:rPr>
          <w:rtl w:val="0"/>
        </w:rPr>
      </w:r>
    </w:p>
    <w:p w:rsidR="00000000" w:rsidDel="00000000" w:rsidP="00000000" w:rsidRDefault="00000000" w:rsidRPr="00000000" w14:paraId="0000000F">
      <w:pPr>
        <w:pageBreakBefore w:val="0"/>
        <w:rPr>
          <w:rFonts w:ascii="FS Rufus" w:cs="FS Rufus" w:eastAsia="FS Rufus" w:hAnsi="FS Rufus"/>
          <w:color w:val="404040"/>
          <w:sz w:val="22"/>
          <w:szCs w:val="22"/>
        </w:rPr>
      </w:pPr>
      <w:r w:rsidDel="00000000" w:rsidR="00000000" w:rsidRPr="00000000">
        <w:rPr>
          <w:rFonts w:ascii="FS Rufus" w:cs="FS Rufus" w:eastAsia="FS Rufus" w:hAnsi="FS Rufus"/>
          <w:i w:val="1"/>
          <w:color w:val="404040"/>
          <w:sz w:val="22"/>
          <w:szCs w:val="22"/>
          <w:rtl w:val="0"/>
        </w:rPr>
        <w:t xml:space="preserve">„Bei dem CARIX-Verfahren müssen keine Chemikalien gehandhabt werden, da stattdessen CO</w:t>
      </w:r>
      <w:r w:rsidDel="00000000" w:rsidR="00000000" w:rsidRPr="00000000">
        <w:rPr>
          <w:rFonts w:ascii="FS Rufus" w:cs="FS Rufus" w:eastAsia="FS Rufus" w:hAnsi="FS Rufus"/>
          <w:i w:val="1"/>
          <w:color w:val="404040"/>
          <w:sz w:val="22"/>
          <w:szCs w:val="22"/>
          <w:vertAlign w:val="subscript"/>
          <w:rtl w:val="0"/>
        </w:rPr>
        <w:t xml:space="preserve">2</w:t>
      </w:r>
      <w:r w:rsidDel="00000000" w:rsidR="00000000" w:rsidRPr="00000000">
        <w:rPr>
          <w:rFonts w:ascii="FS Rufus" w:cs="FS Rufus" w:eastAsia="FS Rufus" w:hAnsi="FS Rufus"/>
          <w:i w:val="1"/>
          <w:color w:val="404040"/>
          <w:sz w:val="22"/>
          <w:szCs w:val="22"/>
          <w:rtl w:val="0"/>
        </w:rPr>
        <w:t xml:space="preserve"> einfach zugeführt wird. Bei dieser Methode muss unser Betriebspersonal in Køge Vandværk daher keine besonderen zusätzlichen Vorsichtsmaßnahmen treffen, wie z. B. das Tragen von Sicherheitsanzügen. Die gute Arbeitsumgebung des CARIX-Verfahrens war daher von großer Bedeutung für die endgültige Wahl des Enthärtungsverfahrens“</w:t>
      </w:r>
      <w:r w:rsidDel="00000000" w:rsidR="00000000" w:rsidRPr="00000000">
        <w:rPr>
          <w:rFonts w:ascii="FS Rufus" w:cs="FS Rufus" w:eastAsia="FS Rufus" w:hAnsi="FS Rufus"/>
          <w:color w:val="404040"/>
          <w:sz w:val="22"/>
          <w:szCs w:val="22"/>
          <w:rtl w:val="0"/>
        </w:rPr>
        <w:t xml:space="preserve">, sagt Jesper Koziara.</w:t>
      </w:r>
    </w:p>
    <w:p w:rsidR="00000000" w:rsidDel="00000000" w:rsidP="00000000" w:rsidRDefault="00000000" w:rsidRPr="00000000" w14:paraId="00000010">
      <w:pPr>
        <w:pageBreakBefore w:val="0"/>
        <w:rPr>
          <w:rFonts w:ascii="FS Rufus" w:cs="FS Rufus" w:eastAsia="FS Rufus" w:hAnsi="FS Rufus"/>
          <w:color w:val="404040"/>
          <w:sz w:val="22"/>
          <w:szCs w:val="22"/>
        </w:rPr>
      </w:pPr>
      <w:r w:rsidDel="00000000" w:rsidR="00000000" w:rsidRPr="00000000">
        <w:rPr>
          <w:rtl w:val="0"/>
        </w:rPr>
      </w:r>
    </w:p>
    <w:p w:rsidR="00000000" w:rsidDel="00000000" w:rsidP="00000000" w:rsidRDefault="00000000" w:rsidRPr="00000000" w14:paraId="00000011">
      <w:pPr>
        <w:pageBreakBefore w:val="0"/>
        <w:rPr>
          <w:rFonts w:ascii="FS Rufus" w:cs="FS Rufus" w:eastAsia="FS Rufus" w:hAnsi="FS Rufus"/>
          <w:color w:val="404040"/>
          <w:sz w:val="22"/>
          <w:szCs w:val="22"/>
        </w:rPr>
      </w:pPr>
      <w:r w:rsidDel="00000000" w:rsidR="00000000" w:rsidRPr="00000000">
        <w:rPr>
          <w:rFonts w:ascii="FS Rufus" w:cs="FS Rufus" w:eastAsia="FS Rufus" w:hAnsi="FS Rufus"/>
          <w:color w:val="404040"/>
          <w:sz w:val="22"/>
          <w:szCs w:val="22"/>
          <w:rtl w:val="0"/>
        </w:rPr>
        <w:t xml:space="preserve">CARIX ist in Deutschland mittlerweile ein etabliertes Verfahren, wo derzeit rund 26 CARIX-Anlagen im Bau oder im Betrieb sind und 7 weitere sich in der Planungsphase befinden. Auch in Dänemark sind in den kommenden Jahren weitere Anlagen geplant. In Solrød baut Vandværk aktuell die erste CARIX-Anlage zur Enthärtung in Dänemark und geht davon aus, im Sommer 2023 in Betrieb gehen zu können. Die erfolgreiche Planung gelang unter anderem auch dadurch, da Veolia Water Technologies auf ganzheitliche Planungsprozesse setzt (BIM, Building Information Modeling).</w:t>
      </w:r>
    </w:p>
    <w:p w:rsidR="00000000" w:rsidDel="00000000" w:rsidP="00000000" w:rsidRDefault="00000000" w:rsidRPr="00000000" w14:paraId="00000012">
      <w:pPr>
        <w:pageBreakBefore w:val="0"/>
        <w:rPr>
          <w:rFonts w:ascii="FS Rufus" w:cs="FS Rufus" w:eastAsia="FS Rufus" w:hAnsi="FS Rufus"/>
          <w:color w:val="404040"/>
          <w:sz w:val="22"/>
          <w:szCs w:val="22"/>
        </w:rPr>
      </w:pPr>
      <w:r w:rsidDel="00000000" w:rsidR="00000000" w:rsidRPr="00000000">
        <w:rPr>
          <w:rtl w:val="0"/>
        </w:rPr>
      </w:r>
    </w:p>
    <w:p w:rsidR="00000000" w:rsidDel="00000000" w:rsidP="00000000" w:rsidRDefault="00000000" w:rsidRPr="00000000" w14:paraId="00000013">
      <w:pPr>
        <w:pageBreakBefore w:val="0"/>
        <w:rPr>
          <w:rFonts w:ascii="FS Rufus" w:cs="FS Rufus" w:eastAsia="FS Rufus" w:hAnsi="FS Rufus"/>
          <w:color w:val="404040"/>
          <w:sz w:val="22"/>
          <w:szCs w:val="22"/>
        </w:rPr>
      </w:pPr>
      <w:r w:rsidDel="00000000" w:rsidR="00000000" w:rsidRPr="00000000">
        <w:rPr>
          <w:rFonts w:ascii="FS Rufus" w:cs="FS Rufus" w:eastAsia="FS Rufus" w:hAnsi="FS Rufus"/>
          <w:color w:val="404040"/>
          <w:sz w:val="22"/>
          <w:szCs w:val="22"/>
          <w:rtl w:val="0"/>
        </w:rPr>
        <w:t xml:space="preserve">In Køge plant KLAR Forsyning, ab 2025 allen Kunden von Køge Vand A/S weicheres Wasser durch das CARIX-Verfahren liefern zu können.</w:t>
      </w:r>
    </w:p>
    <w:p w:rsidR="00000000" w:rsidDel="00000000" w:rsidP="00000000" w:rsidRDefault="00000000" w:rsidRPr="00000000" w14:paraId="00000014">
      <w:pPr>
        <w:pageBreakBefore w:val="0"/>
        <w:rPr>
          <w:rFonts w:ascii="FS Rufus" w:cs="FS Rufus" w:eastAsia="FS Rufus" w:hAnsi="FS Rufus"/>
          <w:color w:val="404040"/>
          <w:sz w:val="22"/>
          <w:szCs w:val="22"/>
        </w:rPr>
      </w:pPr>
      <w:r w:rsidDel="00000000" w:rsidR="00000000" w:rsidRPr="00000000">
        <w:rPr>
          <w:rtl w:val="0"/>
        </w:rPr>
      </w:r>
    </w:p>
    <w:p w:rsidR="00000000" w:rsidDel="00000000" w:rsidP="00000000" w:rsidRDefault="00000000" w:rsidRPr="00000000" w14:paraId="00000015">
      <w:pPr>
        <w:pageBreakBefore w:val="0"/>
        <w:rPr>
          <w:i w:val="1"/>
          <w:color w:val="000000"/>
        </w:rPr>
      </w:pPr>
      <w:r w:rsidDel="00000000" w:rsidR="00000000" w:rsidRPr="00000000">
        <w:rPr>
          <w:i w:val="1"/>
          <w:color w:val="000000"/>
          <w:rtl w:val="0"/>
        </w:rPr>
        <w:t xml:space="preserve">[3.193 Zeichen inkl. Leerzeichen]</w:t>
      </w:r>
    </w:p>
    <w:p w:rsidR="00000000" w:rsidDel="00000000" w:rsidP="00000000" w:rsidRDefault="00000000" w:rsidRPr="00000000" w14:paraId="00000016">
      <w:pPr>
        <w:pageBreakBefore w:val="0"/>
        <w:rPr>
          <w:b w:val="1"/>
          <w:color w:val="7197ca"/>
        </w:rPr>
      </w:pPr>
      <w:r w:rsidDel="00000000" w:rsidR="00000000" w:rsidRPr="00000000">
        <w:rPr>
          <w:rtl w:val="0"/>
        </w:rPr>
      </w:r>
    </w:p>
    <w:p w:rsidR="00000000" w:rsidDel="00000000" w:rsidP="00000000" w:rsidRDefault="00000000" w:rsidRPr="00000000" w14:paraId="00000017">
      <w:pPr>
        <w:pageBreakBefore w:val="0"/>
        <w:rPr>
          <w:b w:val="1"/>
          <w:color w:val="7197ca"/>
          <w:sz w:val="24"/>
          <w:szCs w:val="24"/>
        </w:rPr>
      </w:pPr>
      <w:r w:rsidDel="00000000" w:rsidR="00000000" w:rsidRPr="00000000">
        <w:rPr>
          <w:rtl w:val="0"/>
        </w:rPr>
      </w:r>
    </w:p>
    <w:p w:rsidR="00000000" w:rsidDel="00000000" w:rsidP="00000000" w:rsidRDefault="00000000" w:rsidRPr="00000000" w14:paraId="00000018">
      <w:pPr>
        <w:pageBreakBefore w:val="0"/>
        <w:rPr>
          <w:b w:val="1"/>
          <w:color w:val="7197ca"/>
          <w:sz w:val="24"/>
          <w:szCs w:val="24"/>
        </w:rPr>
      </w:pPr>
      <w:r w:rsidDel="00000000" w:rsidR="00000000" w:rsidRPr="00000000">
        <w:rPr>
          <w:b w:val="1"/>
          <w:color w:val="7197ca"/>
          <w:sz w:val="24"/>
          <w:szCs w:val="24"/>
          <w:rtl w:val="0"/>
        </w:rPr>
        <w:t xml:space="preserve">Fotos</w:t>
      </w:r>
    </w:p>
    <w:p w:rsidR="00000000" w:rsidDel="00000000" w:rsidP="00000000" w:rsidRDefault="00000000" w:rsidRPr="00000000" w14:paraId="00000019">
      <w:pPr>
        <w:spacing w:line="276" w:lineRule="auto"/>
        <w:rPr>
          <w:color w:val="000000"/>
        </w:rPr>
      </w:pPr>
      <w:r w:rsidDel="00000000" w:rsidR="00000000" w:rsidRPr="00000000">
        <w:rPr>
          <w:color w:val="000000"/>
          <w:rtl w:val="0"/>
        </w:rPr>
        <w:t xml:space="preserve">Bild 1: Solrød</w:t>
      </w:r>
      <w:r w:rsidDel="00000000" w:rsidR="00000000" w:rsidRPr="00000000">
        <w:rPr>
          <w:color w:val="ff0000"/>
          <w:rtl w:val="0"/>
        </w:rPr>
        <w:t xml:space="preserve"> </w:t>
      </w:r>
      <w:r w:rsidDel="00000000" w:rsidR="00000000" w:rsidRPr="00000000">
        <w:rPr>
          <w:color w:val="000000"/>
          <w:rtl w:val="0"/>
        </w:rPr>
        <w:t xml:space="preserve">ist der erste dänische Wasserversorger, der auf das innovative CARIX Verfahren setzt, die Anlage ist derzeit im Bau; Quelle: Veolia Water Technologies</w:t>
      </w:r>
    </w:p>
    <w:p w:rsidR="00000000" w:rsidDel="00000000" w:rsidP="00000000" w:rsidRDefault="00000000" w:rsidRPr="00000000" w14:paraId="0000001A">
      <w:pPr>
        <w:spacing w:line="276" w:lineRule="auto"/>
        <w:rPr>
          <w:color w:val="000000"/>
        </w:rPr>
      </w:pPr>
      <w:r w:rsidDel="00000000" w:rsidR="00000000" w:rsidRPr="00000000">
        <w:rPr>
          <w:color w:val="000000"/>
          <w:rtl w:val="0"/>
        </w:rPr>
        <w:t xml:space="preserve">Bild 2: Veolia setzt neben der eigenen Erfahrung auch auf moderne 3D- Planung und entsprechende Software; Quelle: Veolia Water Technologies</w:t>
      </w:r>
    </w:p>
    <w:p w:rsidR="00000000" w:rsidDel="00000000" w:rsidP="00000000" w:rsidRDefault="00000000" w:rsidRPr="00000000" w14:paraId="0000001B">
      <w:pPr>
        <w:spacing w:line="276" w:lineRule="auto"/>
        <w:rPr>
          <w:color w:val="000000"/>
        </w:rPr>
      </w:pPr>
      <w:r w:rsidDel="00000000" w:rsidR="00000000" w:rsidRPr="00000000">
        <w:rPr>
          <w:rtl w:val="0"/>
        </w:rPr>
      </w:r>
    </w:p>
    <w:p w:rsidR="00000000" w:rsidDel="00000000" w:rsidP="00000000" w:rsidRDefault="00000000" w:rsidRPr="00000000" w14:paraId="0000001C">
      <w:pPr>
        <w:spacing w:line="276" w:lineRule="auto"/>
        <w:rPr>
          <w:color w:val="000000"/>
        </w:rPr>
      </w:pPr>
      <w:r w:rsidDel="00000000" w:rsidR="00000000" w:rsidRPr="00000000">
        <w:rPr>
          <w:rtl w:val="0"/>
        </w:rPr>
      </w:r>
    </w:p>
    <w:p w:rsidR="00000000" w:rsidDel="00000000" w:rsidP="00000000" w:rsidRDefault="00000000" w:rsidRPr="00000000" w14:paraId="0000001D">
      <w:pPr>
        <w:pageBreakBefore w:val="0"/>
        <w:rPr>
          <w:b w:val="1"/>
          <w:color w:val="7197ca"/>
          <w:sz w:val="24"/>
          <w:szCs w:val="24"/>
        </w:rPr>
      </w:pPr>
      <w:r w:rsidDel="00000000" w:rsidR="00000000" w:rsidRPr="00000000">
        <w:rPr>
          <w:b w:val="1"/>
          <w:color w:val="7197ca"/>
          <w:sz w:val="24"/>
          <w:szCs w:val="24"/>
          <w:rtl w:val="0"/>
        </w:rPr>
        <w:t xml:space="preserve">Unternehmensprofil</w:t>
      </w:r>
    </w:p>
    <w:p w:rsidR="00000000" w:rsidDel="00000000" w:rsidP="00000000" w:rsidRDefault="00000000" w:rsidRPr="00000000" w14:paraId="0000001E">
      <w:pPr>
        <w:pageBreakBefore w:val="0"/>
        <w:shd w:fill="ffffff" w:val="clear"/>
        <w:ind w:right="-86"/>
        <w:rPr>
          <w:i w:val="1"/>
          <w:color w:val="000000"/>
        </w:rPr>
      </w:pPr>
      <w:r w:rsidDel="00000000" w:rsidR="00000000" w:rsidRPr="00000000">
        <w:rPr>
          <w:rtl w:val="0"/>
        </w:rPr>
      </w:r>
    </w:p>
    <w:p w:rsidR="00000000" w:rsidDel="00000000" w:rsidP="00000000" w:rsidRDefault="00000000" w:rsidRPr="00000000" w14:paraId="0000001F">
      <w:pPr>
        <w:pageBreakBefore w:val="0"/>
        <w:rPr>
          <w:b w:val="1"/>
          <w:color w:val="000000"/>
        </w:rPr>
      </w:pPr>
      <w:r w:rsidDel="00000000" w:rsidR="00000000" w:rsidRPr="00000000">
        <w:rPr>
          <w:b w:val="1"/>
          <w:color w:val="000000"/>
          <w:rtl w:val="0"/>
        </w:rPr>
        <w:t xml:space="preserve">Veolia Water Technologies in Deutschland</w:t>
      </w:r>
    </w:p>
    <w:p w:rsidR="00000000" w:rsidDel="00000000" w:rsidP="00000000" w:rsidRDefault="00000000" w:rsidRPr="00000000" w14:paraId="00000020">
      <w:pPr>
        <w:pageBreakBefore w:val="0"/>
        <w:spacing w:line="276" w:lineRule="auto"/>
        <w:rPr>
          <w:color w:val="000000"/>
        </w:rPr>
      </w:pPr>
      <w:r w:rsidDel="00000000" w:rsidR="00000000" w:rsidRPr="00000000">
        <w:rPr>
          <w:color w:val="000000"/>
          <w:rtl w:val="0"/>
        </w:rPr>
        <w:t xml:space="preserve">Mit den Technologiemarken BERKEFELD, ELGA LABWATER, PMT, HYDROTECH und EVALED gehört das Unternehmen zu den international führenden Anbietern von Lösungen und Anlagen zur Trink-, Prozess- und Abwasseraufbereitung. Das Produktangebot umfasst Lösungen für ein breites Spektrum an Anwendungen, von der Gebäude- und Schwimmbadtechnik über Industrieunternehmen wie Getränke-, Nahrungsmittel- und Chemieproduzenten bis hin zu Laboratorien, Kommunen und  internationalen Hilfsorganisationen.</w:t>
      </w:r>
    </w:p>
    <w:p w:rsidR="00000000" w:rsidDel="00000000" w:rsidP="00000000" w:rsidRDefault="00000000" w:rsidRPr="00000000" w14:paraId="00000021">
      <w:pPr>
        <w:pageBreakBefore w:val="0"/>
        <w:spacing w:line="276" w:lineRule="auto"/>
        <w:ind w:left="720" w:firstLine="0"/>
        <w:rPr>
          <w:color w:val="000000"/>
        </w:rPr>
      </w:pPr>
      <w:r w:rsidDel="00000000" w:rsidR="00000000" w:rsidRPr="00000000">
        <w:rPr>
          <w:rtl w:val="0"/>
        </w:rPr>
      </w:r>
    </w:p>
    <w:p w:rsidR="00000000" w:rsidDel="00000000" w:rsidP="00000000" w:rsidRDefault="00000000" w:rsidRPr="00000000" w14:paraId="00000022">
      <w:pPr>
        <w:pageBreakBefore w:val="0"/>
        <w:spacing w:line="276" w:lineRule="auto"/>
        <w:rPr>
          <w:b w:val="1"/>
          <w:color w:val="262626"/>
        </w:rPr>
      </w:pPr>
      <w:r w:rsidDel="00000000" w:rsidR="00000000" w:rsidRPr="00000000">
        <w:rPr>
          <w:color w:val="000000"/>
          <w:rtl w:val="0"/>
        </w:rPr>
        <w:t xml:space="preserve">Am Hauptsitz in Celle und an den Standorten in Bayreuth und Leonberg werden rund 320 Mitarbeitende beschäftigt. Ein bundesweites Netzwerk von über 50 Servicetechnikern und 30 Vertriebsingenieuren bietet Beratungskompetenz  und schnelle Unterstützung. </w:t>
      </w:r>
      <w:hyperlink r:id="rId10">
        <w:r w:rsidDel="00000000" w:rsidR="00000000" w:rsidRPr="00000000">
          <w:rPr>
            <w:color w:val="1155cc"/>
            <w:u w:val="single"/>
            <w:rtl w:val="0"/>
          </w:rPr>
          <w:t xml:space="preserve">www.veoliawatertechnologies.de</w:t>
        </w:r>
      </w:hyperlink>
      <w:r w:rsidDel="00000000" w:rsidR="00000000" w:rsidRPr="00000000">
        <w:rPr>
          <w:rtl w:val="0"/>
        </w:rPr>
      </w:r>
    </w:p>
    <w:p w:rsidR="00000000" w:rsidDel="00000000" w:rsidP="00000000" w:rsidRDefault="00000000" w:rsidRPr="00000000" w14:paraId="00000023">
      <w:pPr>
        <w:pageBreakBefore w:val="0"/>
        <w:spacing w:line="276" w:lineRule="auto"/>
        <w:ind w:left="720" w:firstLine="0"/>
        <w:rPr>
          <w:b w:val="1"/>
          <w:color w:val="262626"/>
        </w:rPr>
      </w:pPr>
      <w:r w:rsidDel="00000000" w:rsidR="00000000" w:rsidRPr="00000000">
        <w:rPr>
          <w:b w:val="1"/>
          <w:color w:val="262626"/>
          <w:rtl w:val="0"/>
        </w:rPr>
        <w:t xml:space="preserve"> </w:t>
      </w:r>
    </w:p>
    <w:p w:rsidR="00000000" w:rsidDel="00000000" w:rsidP="00000000" w:rsidRDefault="00000000" w:rsidRPr="00000000" w14:paraId="00000024">
      <w:pPr>
        <w:spacing w:line="276" w:lineRule="auto"/>
        <w:rPr>
          <w:color w:val="000000"/>
          <w:highlight w:val="white"/>
        </w:rPr>
      </w:pPr>
      <w:r w:rsidDel="00000000" w:rsidR="00000000" w:rsidRPr="00000000">
        <w:rPr>
          <w:color w:val="000000"/>
          <w:highlight w:val="white"/>
          <w:rtl w:val="0"/>
        </w:rPr>
        <w:t xml:space="preserve">Die </w:t>
      </w:r>
      <w:r w:rsidDel="00000000" w:rsidR="00000000" w:rsidRPr="00000000">
        <w:rPr>
          <w:b w:val="1"/>
          <w:color w:val="000000"/>
          <w:highlight w:val="white"/>
          <w:rtl w:val="0"/>
        </w:rPr>
        <w:t xml:space="preserve">Veolia Gruppe</w:t>
      </w:r>
      <w:r w:rsidDel="00000000" w:rsidR="00000000" w:rsidRPr="00000000">
        <w:rPr>
          <w:color w:val="000000"/>
          <w:highlight w:val="white"/>
          <w:rtl w:val="0"/>
        </w:rPr>
        <w:t xml:space="preserve"> ist der weltweite Maßstab für optimiertes Ressourcenmanagement. Mit über 220 000 Beschäftigten auf allen fünf Kontinenten plant und implementiert die Veolia-Gruppe Lösungen für die Bereiche Wasser-, Abfall- und Energiemanagement im Sinne einer nachhaltigen Entwicklung der Kommunen und der Wirtschaft. Mit ihren drei sich ergänzenden Tätigkeitsfeldern sorgt sie für einen verbesserten Zugang zu Ressourcen, ihren Schutz und ihre Erneuerung. 2021 stellte die Veolia-Gruppe weltweit die Trinkwasserversorgung von 79 Millionen Menschen und die Abwasserentsorgung für 61 Millionen Menschen sicher, erzeugte fast 48 Millionen MWh Energie und verwertete 48 Millionen Tonnen Abfälle. Der konsolidierte Jahresumsatz von Veolia Environnement (Paris Euronext: VIE) betrug 2021 28,5 Milliarden Euro. </w:t>
      </w:r>
      <w:hyperlink r:id="rId11">
        <w:r w:rsidDel="00000000" w:rsidR="00000000" w:rsidRPr="00000000">
          <w:rPr>
            <w:color w:val="1155cc"/>
            <w:highlight w:val="white"/>
            <w:u w:val="single"/>
            <w:rtl w:val="0"/>
          </w:rPr>
          <w:t xml:space="preserve">www.veolia.com</w:t>
        </w:r>
      </w:hyperlink>
      <w:r w:rsidDel="00000000" w:rsidR="00000000" w:rsidRPr="00000000">
        <w:rPr>
          <w:color w:val="000000"/>
          <w:highlight w:val="white"/>
          <w:rtl w:val="0"/>
        </w:rPr>
        <w:t xml:space="preserve"> </w:t>
      </w:r>
    </w:p>
    <w:p w:rsidR="00000000" w:rsidDel="00000000" w:rsidP="00000000" w:rsidRDefault="00000000" w:rsidRPr="00000000" w14:paraId="00000025">
      <w:pPr>
        <w:spacing w:line="276" w:lineRule="auto"/>
        <w:rPr>
          <w:color w:val="000000"/>
          <w:highlight w:val="white"/>
        </w:rPr>
      </w:pPr>
      <w:r w:rsidDel="00000000" w:rsidR="00000000" w:rsidRPr="00000000">
        <w:rPr>
          <w:rtl w:val="0"/>
        </w:rPr>
      </w:r>
    </w:p>
    <w:p w:rsidR="00000000" w:rsidDel="00000000" w:rsidP="00000000" w:rsidRDefault="00000000" w:rsidRPr="00000000" w14:paraId="00000026">
      <w:pPr>
        <w:spacing w:line="276" w:lineRule="auto"/>
        <w:rPr>
          <w:rFonts w:ascii="FS Rufus" w:cs="FS Rufus" w:eastAsia="FS Rufus" w:hAnsi="FS Rufus"/>
          <w:b w:val="1"/>
          <w:color w:val="7197ca"/>
          <w:sz w:val="24"/>
          <w:szCs w:val="24"/>
        </w:rPr>
      </w:pPr>
      <w:r w:rsidDel="00000000" w:rsidR="00000000" w:rsidRPr="00000000">
        <w:rPr>
          <w:color w:val="000000"/>
          <w:highlight w:val="white"/>
          <w:rtl w:val="0"/>
        </w:rPr>
        <w:t xml:space="preserve">In Deutschland arbeiten bei Veolia und ihren Beteiligungsgesellschaften rund 10.500 Beschäftigte an etwa 250 Standorten. In Partnerschaften mit Kommunen sind sie für mehr als 11 Millionen Menschen tätig. Hinzu kommen maßgeschneiderte Dienstleistungen für Privat- und Gewerbekunden, Handels- und Industriebetriebe. In ihren drei Geschäftsbereichen erwirtschaftete Veolia in Deutschland 2021 einen Jahresumsatz von 2 Milliarden Euro.</w:t>
      </w:r>
      <w:r w:rsidDel="00000000" w:rsidR="00000000" w:rsidRPr="00000000">
        <w:rPr>
          <w:rtl w:val="0"/>
        </w:rPr>
      </w:r>
    </w:p>
    <w:p w:rsidR="00000000" w:rsidDel="00000000" w:rsidP="00000000" w:rsidRDefault="00000000" w:rsidRPr="00000000" w14:paraId="00000027">
      <w:pPr>
        <w:spacing w:line="276" w:lineRule="auto"/>
        <w:rPr>
          <w:rFonts w:ascii="FS Rufus" w:cs="FS Rufus" w:eastAsia="FS Rufus" w:hAnsi="FS Rufus"/>
          <w:b w:val="1"/>
          <w:color w:val="7197ca"/>
          <w:sz w:val="24"/>
          <w:szCs w:val="24"/>
        </w:rPr>
      </w:pPr>
      <w:r w:rsidDel="00000000" w:rsidR="00000000" w:rsidRPr="00000000">
        <w:rPr>
          <w:rtl w:val="0"/>
        </w:rPr>
      </w:r>
    </w:p>
    <w:p w:rsidR="00000000" w:rsidDel="00000000" w:rsidP="00000000" w:rsidRDefault="00000000" w:rsidRPr="00000000" w14:paraId="00000028">
      <w:pPr>
        <w:spacing w:line="276" w:lineRule="auto"/>
        <w:rPr>
          <w:rFonts w:ascii="FS Rufus" w:cs="FS Rufus" w:eastAsia="FS Rufus" w:hAnsi="FS Rufus"/>
          <w:b w:val="1"/>
          <w:color w:val="7197ca"/>
          <w:sz w:val="24"/>
          <w:szCs w:val="24"/>
        </w:rPr>
      </w:pPr>
      <w:r w:rsidDel="00000000" w:rsidR="00000000" w:rsidRPr="00000000">
        <w:rPr>
          <w:rtl w:val="0"/>
        </w:rPr>
      </w:r>
    </w:p>
    <w:p w:rsidR="00000000" w:rsidDel="00000000" w:rsidP="00000000" w:rsidRDefault="00000000" w:rsidRPr="00000000" w14:paraId="00000029">
      <w:pPr>
        <w:spacing w:line="276" w:lineRule="auto"/>
        <w:rPr>
          <w:rFonts w:ascii="FS Rufus" w:cs="FS Rufus" w:eastAsia="FS Rufus" w:hAnsi="FS Rufus"/>
          <w:b w:val="1"/>
          <w:color w:val="7197ca"/>
          <w:sz w:val="24"/>
          <w:szCs w:val="24"/>
        </w:rPr>
      </w:pPr>
      <w:r w:rsidDel="00000000" w:rsidR="00000000" w:rsidRPr="00000000">
        <w:rPr>
          <w:rFonts w:ascii="FS Rufus" w:cs="FS Rufus" w:eastAsia="FS Rufus" w:hAnsi="FS Rufus"/>
          <w:b w:val="1"/>
          <w:color w:val="7197ca"/>
          <w:sz w:val="24"/>
          <w:szCs w:val="24"/>
          <w:rtl w:val="0"/>
        </w:rPr>
        <w:t xml:space="preserve">Kontakt</w:t>
      </w:r>
    </w:p>
    <w:p w:rsidR="00000000" w:rsidDel="00000000" w:rsidP="00000000" w:rsidRDefault="00000000" w:rsidRPr="00000000" w14:paraId="0000002A">
      <w:pPr>
        <w:rPr>
          <w:rFonts w:ascii="FS Rufus" w:cs="FS Rufus" w:eastAsia="FS Rufus" w:hAnsi="FS Rufus"/>
          <w:color w:val="404040"/>
        </w:rPr>
      </w:pPr>
      <w:r w:rsidDel="00000000" w:rsidR="00000000" w:rsidRPr="00000000">
        <w:rPr>
          <w:rtl w:val="0"/>
        </w:rPr>
      </w:r>
    </w:p>
    <w:p w:rsidR="00000000" w:rsidDel="00000000" w:rsidP="00000000" w:rsidRDefault="00000000" w:rsidRPr="00000000" w14:paraId="0000002B">
      <w:pPr>
        <w:rPr>
          <w:rFonts w:ascii="FS Rufus" w:cs="FS Rufus" w:eastAsia="FS Rufus" w:hAnsi="FS Rufus"/>
          <w:b w:val="1"/>
          <w:color w:val="7197ca"/>
        </w:rPr>
      </w:pPr>
      <w:r w:rsidDel="00000000" w:rsidR="00000000" w:rsidRPr="00000000">
        <w:rPr>
          <w:rFonts w:ascii="FS Rufus" w:cs="FS Rufus" w:eastAsia="FS Rufus" w:hAnsi="FS Rufus"/>
          <w:color w:val="404040"/>
          <w:rtl w:val="0"/>
        </w:rPr>
        <w:t xml:space="preserve">Uwe Sauer </w:t>
      </w:r>
      <w:r w:rsidDel="00000000" w:rsidR="00000000" w:rsidRPr="00000000">
        <w:rPr>
          <w:rtl w:val="0"/>
        </w:rPr>
      </w:r>
    </w:p>
    <w:p w:rsidR="00000000" w:rsidDel="00000000" w:rsidP="00000000" w:rsidRDefault="00000000" w:rsidRPr="00000000" w14:paraId="0000002C">
      <w:pPr>
        <w:rPr>
          <w:rFonts w:ascii="FS Rufus" w:cs="FS Rufus" w:eastAsia="FS Rufus" w:hAnsi="FS Rufus"/>
          <w:color w:val="404040"/>
        </w:rPr>
      </w:pPr>
      <w:r w:rsidDel="00000000" w:rsidR="00000000" w:rsidRPr="00000000">
        <w:rPr>
          <w:rFonts w:ascii="FS Rufus" w:cs="FS Rufus" w:eastAsia="FS Rufus" w:hAnsi="FS Rufus"/>
          <w:b w:val="1"/>
          <w:color w:val="404040"/>
          <w:rtl w:val="0"/>
        </w:rPr>
        <w:t xml:space="preserve">Business Development &amp; Sales Manager Municipal Applications</w:t>
      </w:r>
      <w:r w:rsidDel="00000000" w:rsidR="00000000" w:rsidRPr="00000000">
        <w:rPr>
          <w:rtl w:val="0"/>
        </w:rPr>
      </w:r>
    </w:p>
    <w:p w:rsidR="00000000" w:rsidDel="00000000" w:rsidP="00000000" w:rsidRDefault="00000000" w:rsidRPr="00000000" w14:paraId="0000002D">
      <w:pPr>
        <w:ind w:right="970"/>
        <w:rPr>
          <w:rFonts w:ascii="FS Rufus" w:cs="FS Rufus" w:eastAsia="FS Rufus" w:hAnsi="FS Rufus"/>
          <w:i w:val="1"/>
          <w:color w:val="404040"/>
        </w:rPr>
      </w:pPr>
      <w:r w:rsidDel="00000000" w:rsidR="00000000" w:rsidRPr="00000000">
        <w:rPr>
          <w:rFonts w:ascii="FS Rufus" w:cs="FS Rufus" w:eastAsia="FS Rufus" w:hAnsi="FS Rufus"/>
          <w:color w:val="404040"/>
          <w:rtl w:val="0"/>
        </w:rPr>
        <w:t xml:space="preserve">Veolia Water Technologies Deutschland GmbH</w:t>
      </w:r>
      <w:r w:rsidDel="00000000" w:rsidR="00000000" w:rsidRPr="00000000">
        <w:rPr>
          <w:rtl w:val="0"/>
        </w:rPr>
      </w:r>
    </w:p>
    <w:p w:rsidR="00000000" w:rsidDel="00000000" w:rsidP="00000000" w:rsidRDefault="00000000" w:rsidRPr="00000000" w14:paraId="0000002E">
      <w:pPr>
        <w:ind w:right="970"/>
        <w:rPr>
          <w:rFonts w:ascii="FS Rufus" w:cs="FS Rufus" w:eastAsia="FS Rufus" w:hAnsi="FS Rufus"/>
          <w:i w:val="1"/>
          <w:color w:val="404040"/>
        </w:rPr>
      </w:pPr>
      <w:r w:rsidDel="00000000" w:rsidR="00000000" w:rsidRPr="00000000">
        <w:rPr>
          <w:rtl w:val="0"/>
        </w:rPr>
      </w:r>
    </w:p>
    <w:p w:rsidR="00000000" w:rsidDel="00000000" w:rsidP="00000000" w:rsidRDefault="00000000" w:rsidRPr="00000000" w14:paraId="0000002F">
      <w:pPr>
        <w:ind w:right="970"/>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Bindlacher Straße</w:t>
      </w:r>
      <w:r w:rsidDel="00000000" w:rsidR="00000000" w:rsidRPr="00000000">
        <w:rPr>
          <w:rFonts w:ascii="FS Rufus" w:cs="FS Rufus" w:eastAsia="FS Rufus" w:hAnsi="FS Rufus"/>
          <w:color w:val="404040"/>
          <w:rtl w:val="0"/>
        </w:rPr>
        <w:t xml:space="preserve"> 4, 95448 Bayreuth</w:t>
      </w:r>
    </w:p>
    <w:p w:rsidR="00000000" w:rsidDel="00000000" w:rsidP="00000000" w:rsidRDefault="00000000" w:rsidRPr="00000000" w14:paraId="00000030">
      <w:pPr>
        <w:tabs>
          <w:tab w:val="left" w:pos="900"/>
        </w:tabs>
        <w:ind w:right="970"/>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Mobil: </w:t>
        <w:tab/>
        <w:t xml:space="preserve">+49 (0) 174 339 1004</w:t>
      </w:r>
    </w:p>
    <w:p w:rsidR="00000000" w:rsidDel="00000000" w:rsidP="00000000" w:rsidRDefault="00000000" w:rsidRPr="00000000" w14:paraId="00000031">
      <w:pPr>
        <w:tabs>
          <w:tab w:val="left" w:pos="900"/>
        </w:tabs>
        <w:ind w:right="970"/>
        <w:rPr>
          <w:rFonts w:ascii="FS Rufus" w:cs="FS Rufus" w:eastAsia="FS Rufus" w:hAnsi="FS Rufus"/>
          <w:color w:val="404040"/>
        </w:rPr>
      </w:pPr>
      <w:hyperlink r:id="rId12">
        <w:r w:rsidDel="00000000" w:rsidR="00000000" w:rsidRPr="00000000">
          <w:rPr>
            <w:rFonts w:ascii="FS Rufus" w:cs="FS Rufus" w:eastAsia="FS Rufus" w:hAnsi="FS Rufus"/>
            <w:color w:val="1155cc"/>
            <w:u w:val="single"/>
            <w:rtl w:val="0"/>
          </w:rPr>
          <w:t xml:space="preserve">uwe.sauer@veolia.com</w:t>
        </w:r>
      </w:hyperlink>
      <w:r w:rsidDel="00000000" w:rsidR="00000000" w:rsidRPr="00000000">
        <w:rPr>
          <w:rFonts w:ascii="FS Rufus" w:cs="FS Rufus" w:eastAsia="FS Rufus" w:hAnsi="FS Rufus"/>
          <w:color w:val="404040"/>
          <w:rtl w:val="0"/>
        </w:rPr>
        <w:t xml:space="preserve"> </w:t>
      </w:r>
      <w:r w:rsidDel="00000000" w:rsidR="00000000" w:rsidRPr="00000000">
        <w:rPr>
          <w:rFonts w:ascii="FS Rufus" w:cs="FS Rufus" w:eastAsia="FS Rufus" w:hAnsi="FS Rufus"/>
          <w:color w:val="404040"/>
          <w:rtl w:val="0"/>
        </w:rPr>
        <w:t xml:space="preserve"> </w:t>
      </w:r>
      <w:r w:rsidDel="00000000" w:rsidR="00000000" w:rsidRPr="00000000">
        <w:rPr>
          <w:rtl w:val="0"/>
        </w:rPr>
      </w:r>
    </w:p>
    <w:p w:rsidR="00000000" w:rsidDel="00000000" w:rsidP="00000000" w:rsidRDefault="00000000" w:rsidRPr="00000000" w14:paraId="00000032">
      <w:pPr>
        <w:tabs>
          <w:tab w:val="left" w:pos="900"/>
        </w:tabs>
        <w:ind w:right="970"/>
        <w:rPr>
          <w:rFonts w:ascii="FS Rufus" w:cs="FS Rufus" w:eastAsia="FS Rufus" w:hAnsi="FS Rufus"/>
          <w:color w:val="404040"/>
        </w:rPr>
      </w:pPr>
      <w:hyperlink r:id="rId13">
        <w:r w:rsidDel="00000000" w:rsidR="00000000" w:rsidRPr="00000000">
          <w:rPr>
            <w:rFonts w:ascii="FS Rufus" w:cs="FS Rufus" w:eastAsia="FS Rufus" w:hAnsi="FS Rufus"/>
            <w:color w:val="1155cc"/>
            <w:u w:val="single"/>
            <w:rtl w:val="0"/>
          </w:rPr>
          <w:t xml:space="preserve">www.veoliawatertechnologies.de</w:t>
        </w:r>
      </w:hyperlink>
      <w:r w:rsidDel="00000000" w:rsidR="00000000" w:rsidRPr="00000000">
        <w:rPr>
          <w:rFonts w:ascii="FS Rufus" w:cs="FS Rufus" w:eastAsia="FS Rufus" w:hAnsi="FS Rufus"/>
          <w:color w:val="404040"/>
          <w:rtl w:val="0"/>
        </w:rPr>
        <w:t xml:space="preserve"> </w:t>
      </w:r>
      <w:r w:rsidDel="00000000" w:rsidR="00000000" w:rsidRPr="00000000">
        <w:rPr>
          <w:rtl w:val="0"/>
        </w:rPr>
      </w:r>
    </w:p>
    <w:p w:rsidR="00000000" w:rsidDel="00000000" w:rsidP="00000000" w:rsidRDefault="00000000" w:rsidRPr="00000000" w14:paraId="00000033">
      <w:pPr>
        <w:rPr>
          <w:rFonts w:ascii="FS Rufus" w:cs="FS Rufus" w:eastAsia="FS Rufus" w:hAnsi="FS Rufus"/>
          <w:color w:val="404040"/>
        </w:rPr>
      </w:pPr>
      <w:r w:rsidDel="00000000" w:rsidR="00000000" w:rsidRPr="00000000">
        <w:rPr>
          <w:rtl w:val="0"/>
        </w:rPr>
      </w:r>
    </w:p>
    <w:p w:rsidR="00000000" w:rsidDel="00000000" w:rsidP="00000000" w:rsidRDefault="00000000" w:rsidRPr="00000000" w14:paraId="00000034">
      <w:pPr>
        <w:rPr>
          <w:rFonts w:ascii="FS Rufus" w:cs="FS Rufus" w:eastAsia="FS Rufus" w:hAnsi="FS Rufus"/>
          <w:color w:val="404040"/>
        </w:rPr>
      </w:pPr>
      <w:r w:rsidDel="00000000" w:rsidR="00000000" w:rsidRPr="00000000">
        <w:rPr>
          <w:rtl w:val="0"/>
        </w:rPr>
      </w:r>
    </w:p>
    <w:p w:rsidR="00000000" w:rsidDel="00000000" w:rsidP="00000000" w:rsidRDefault="00000000" w:rsidRPr="00000000" w14:paraId="00000035">
      <w:pPr>
        <w:rPr>
          <w:rFonts w:ascii="FS Rufus" w:cs="FS Rufus" w:eastAsia="FS Rufus" w:hAnsi="FS Rufus"/>
          <w:color w:val="404040"/>
        </w:rPr>
      </w:pPr>
      <w:r w:rsidDel="00000000" w:rsidR="00000000" w:rsidRPr="00000000">
        <w:rPr>
          <w:rtl w:val="0"/>
        </w:rPr>
      </w:r>
    </w:p>
    <w:p w:rsidR="00000000" w:rsidDel="00000000" w:rsidP="00000000" w:rsidRDefault="00000000" w:rsidRPr="00000000" w14:paraId="00000036">
      <w:pPr>
        <w:rPr>
          <w:rFonts w:ascii="FS Rufus" w:cs="FS Rufus" w:eastAsia="FS Rufus" w:hAnsi="FS Rufus"/>
          <w:b w:val="1"/>
          <w:color w:val="7197ca"/>
        </w:rPr>
      </w:pPr>
      <w:r w:rsidDel="00000000" w:rsidR="00000000" w:rsidRPr="00000000">
        <w:rPr>
          <w:rFonts w:ascii="FS Rufus" w:cs="FS Rufus" w:eastAsia="FS Rufus" w:hAnsi="FS Rufus"/>
          <w:color w:val="404040"/>
          <w:rtl w:val="0"/>
        </w:rPr>
        <w:t xml:space="preserve">Tobias Jungke </w:t>
      </w:r>
      <w:r w:rsidDel="00000000" w:rsidR="00000000" w:rsidRPr="00000000">
        <w:rPr>
          <w:rtl w:val="0"/>
        </w:rPr>
      </w:r>
    </w:p>
    <w:p w:rsidR="00000000" w:rsidDel="00000000" w:rsidP="00000000" w:rsidRDefault="00000000" w:rsidRPr="00000000" w14:paraId="00000037">
      <w:pPr>
        <w:rPr>
          <w:rFonts w:ascii="FS Rufus" w:cs="FS Rufus" w:eastAsia="FS Rufus" w:hAnsi="FS Rufus"/>
          <w:color w:val="404040"/>
        </w:rPr>
      </w:pPr>
      <w:r w:rsidDel="00000000" w:rsidR="00000000" w:rsidRPr="00000000">
        <w:rPr>
          <w:rFonts w:ascii="FS Rufus" w:cs="FS Rufus" w:eastAsia="FS Rufus" w:hAnsi="FS Rufus"/>
          <w:b w:val="1"/>
          <w:color w:val="404040"/>
          <w:rtl w:val="0"/>
        </w:rPr>
        <w:t xml:space="preserve">PR- und Content Manager</w:t>
      </w:r>
      <w:r w:rsidDel="00000000" w:rsidR="00000000" w:rsidRPr="00000000">
        <w:rPr>
          <w:rtl w:val="0"/>
        </w:rPr>
      </w:r>
    </w:p>
    <w:p w:rsidR="00000000" w:rsidDel="00000000" w:rsidP="00000000" w:rsidRDefault="00000000" w:rsidRPr="00000000" w14:paraId="00000038">
      <w:pPr>
        <w:ind w:right="970"/>
        <w:rPr>
          <w:rFonts w:ascii="FS Rufus" w:cs="FS Rufus" w:eastAsia="FS Rufus" w:hAnsi="FS Rufus"/>
          <w:i w:val="1"/>
          <w:color w:val="404040"/>
        </w:rPr>
      </w:pPr>
      <w:r w:rsidDel="00000000" w:rsidR="00000000" w:rsidRPr="00000000">
        <w:rPr>
          <w:rFonts w:ascii="FS Rufus" w:cs="FS Rufus" w:eastAsia="FS Rufus" w:hAnsi="FS Rufus"/>
          <w:color w:val="404040"/>
          <w:rtl w:val="0"/>
        </w:rPr>
        <w:t xml:space="preserve">Veolia Water Technologies Deutschland GmbH</w:t>
      </w:r>
      <w:r w:rsidDel="00000000" w:rsidR="00000000" w:rsidRPr="00000000">
        <w:rPr>
          <w:rtl w:val="0"/>
        </w:rPr>
      </w:r>
    </w:p>
    <w:p w:rsidR="00000000" w:rsidDel="00000000" w:rsidP="00000000" w:rsidRDefault="00000000" w:rsidRPr="00000000" w14:paraId="00000039">
      <w:pPr>
        <w:ind w:right="970"/>
        <w:rPr>
          <w:rFonts w:ascii="FS Rufus" w:cs="FS Rufus" w:eastAsia="FS Rufus" w:hAnsi="FS Rufus"/>
          <w:i w:val="1"/>
          <w:color w:val="404040"/>
        </w:rPr>
      </w:pPr>
      <w:r w:rsidDel="00000000" w:rsidR="00000000" w:rsidRPr="00000000">
        <w:rPr>
          <w:rtl w:val="0"/>
        </w:rPr>
      </w:r>
    </w:p>
    <w:p w:rsidR="00000000" w:rsidDel="00000000" w:rsidP="00000000" w:rsidRDefault="00000000" w:rsidRPr="00000000" w14:paraId="0000003A">
      <w:pPr>
        <w:pageBreakBefore w:val="0"/>
        <w:ind w:right="970"/>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Lückenweg 5, 29227 Celle</w:t>
      </w:r>
    </w:p>
    <w:p w:rsidR="00000000" w:rsidDel="00000000" w:rsidP="00000000" w:rsidRDefault="00000000" w:rsidRPr="00000000" w14:paraId="0000003B">
      <w:pPr>
        <w:pageBreakBefore w:val="0"/>
        <w:tabs>
          <w:tab w:val="left" w:pos="900"/>
        </w:tabs>
        <w:ind w:right="970"/>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Telefon: </w:t>
        <w:tab/>
        <w:t xml:space="preserve">+49 (0) 5141 803-562</w:t>
      </w:r>
    </w:p>
    <w:p w:rsidR="00000000" w:rsidDel="00000000" w:rsidP="00000000" w:rsidRDefault="00000000" w:rsidRPr="00000000" w14:paraId="0000003C">
      <w:pPr>
        <w:pageBreakBefore w:val="0"/>
        <w:tabs>
          <w:tab w:val="left" w:pos="900"/>
        </w:tabs>
        <w:ind w:right="970"/>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Mobil: </w:t>
        <w:tab/>
        <w:t xml:space="preserve">+49 (0) 160 1417575</w:t>
      </w:r>
    </w:p>
    <w:p w:rsidR="00000000" w:rsidDel="00000000" w:rsidP="00000000" w:rsidRDefault="00000000" w:rsidRPr="00000000" w14:paraId="0000003D">
      <w:pPr>
        <w:pageBreakBefore w:val="0"/>
        <w:tabs>
          <w:tab w:val="left" w:pos="900"/>
        </w:tabs>
        <w:ind w:right="970"/>
        <w:rPr>
          <w:rFonts w:ascii="FS Rufus" w:cs="FS Rufus" w:eastAsia="FS Rufus" w:hAnsi="FS Rufus"/>
          <w:color w:val="404040"/>
        </w:rPr>
      </w:pPr>
      <w:hyperlink r:id="rId14">
        <w:r w:rsidDel="00000000" w:rsidR="00000000" w:rsidRPr="00000000">
          <w:rPr>
            <w:rFonts w:ascii="FS Rufus" w:cs="FS Rufus" w:eastAsia="FS Rufus" w:hAnsi="FS Rufus"/>
            <w:color w:val="1155cc"/>
            <w:u w:val="single"/>
            <w:rtl w:val="0"/>
          </w:rPr>
          <w:t xml:space="preserve">tobias.jungke@veolia.com</w:t>
        </w:r>
      </w:hyperlink>
      <w:r w:rsidDel="00000000" w:rsidR="00000000" w:rsidRPr="00000000">
        <w:rPr>
          <w:rtl w:val="0"/>
        </w:rPr>
      </w:r>
    </w:p>
    <w:p w:rsidR="00000000" w:rsidDel="00000000" w:rsidP="00000000" w:rsidRDefault="00000000" w:rsidRPr="00000000" w14:paraId="0000003E">
      <w:pPr>
        <w:pageBreakBefore w:val="0"/>
        <w:tabs>
          <w:tab w:val="left" w:pos="900"/>
        </w:tabs>
        <w:ind w:right="970"/>
        <w:rPr>
          <w:rFonts w:ascii="FS Rufus" w:cs="FS Rufus" w:eastAsia="FS Rufus" w:hAnsi="FS Rufus"/>
          <w:color w:val="262626"/>
        </w:rPr>
      </w:pPr>
      <w:hyperlink r:id="rId15">
        <w:r w:rsidDel="00000000" w:rsidR="00000000" w:rsidRPr="00000000">
          <w:rPr>
            <w:rFonts w:ascii="FS Rufus" w:cs="FS Rufus" w:eastAsia="FS Rufus" w:hAnsi="FS Rufus"/>
            <w:color w:val="1155cc"/>
            <w:u w:val="single"/>
            <w:rtl w:val="0"/>
          </w:rPr>
          <w:t xml:space="preserve">www.veoliawatertechnologies.de</w:t>
        </w:r>
      </w:hyperlink>
      <w:r w:rsidDel="00000000" w:rsidR="00000000" w:rsidRPr="00000000">
        <w:rPr>
          <w:rFonts w:ascii="FS Rufus" w:cs="FS Rufus" w:eastAsia="FS Rufus" w:hAnsi="FS Rufus"/>
          <w:color w:val="404040"/>
          <w:rtl w:val="0"/>
        </w:rPr>
        <w:t xml:space="preserve"> </w:t>
      </w:r>
      <w:r w:rsidDel="00000000" w:rsidR="00000000" w:rsidRPr="00000000">
        <w:rPr>
          <w:rtl w:val="0"/>
        </w:rPr>
      </w:r>
    </w:p>
    <w:sectPr>
      <w:headerReference r:id="rId16" w:type="default"/>
      <w:headerReference r:id="rId17" w:type="first"/>
      <w:footerReference r:id="rId18" w:type="default"/>
      <w:footerReference r:id="rId19" w:type="first"/>
      <w:pgSz w:h="16840" w:w="11907" w:orient="portrait"/>
      <w:pgMar w:bottom="369" w:top="369" w:left="964" w:right="1701" w:header="369" w:footer="36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FS Ruf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60" w:lineRule="auto"/>
      <w:ind w:left="0" w:right="0" w:firstLine="0"/>
      <w:jc w:val="left"/>
      <w:rPr>
        <w:rFonts w:ascii="Arial" w:cs="Arial" w:eastAsia="Arial" w:hAnsi="Arial"/>
        <w:b w:val="0"/>
        <w:i w:val="1"/>
        <w:smallCaps w:val="0"/>
        <w:strike w:val="0"/>
        <w:color w:val="7197ca"/>
        <w:sz w:val="24"/>
        <w:szCs w:val="24"/>
        <w:u w:val="none"/>
        <w:shd w:fill="auto" w:val="clear"/>
        <w:vertAlign w:val="baseline"/>
      </w:rPr>
    </w:pPr>
    <w:r w:rsidDel="00000000" w:rsidR="00000000" w:rsidRPr="00000000">
      <w:rPr>
        <w:rFonts w:ascii="Arial" w:cs="Arial" w:eastAsia="Arial" w:hAnsi="Arial"/>
        <w:b w:val="0"/>
        <w:i w:val="1"/>
        <w:smallCaps w:val="0"/>
        <w:strike w:val="0"/>
        <w:color w:val="7197ca"/>
        <w:sz w:val="24"/>
        <w:szCs w:val="24"/>
        <w:u w:val="none"/>
        <w:shd w:fill="auto" w:val="clear"/>
        <w:vertAlign w:val="baseline"/>
        <w:rtl w:val="0"/>
      </w:rPr>
      <w:t xml:space="preserve">Veolia Water Technologies Deutschland</w:t>
    </w:r>
  </w:p>
  <w:p w:rsidR="00000000" w:rsidDel="00000000" w:rsidP="00000000" w:rsidRDefault="00000000" w:rsidRPr="00000000" w14:paraId="00000042">
    <w:pPr>
      <w:keepNext w:val="0"/>
      <w:keepLines w:val="0"/>
      <w:pageBreakBefore w:val="0"/>
      <w:widowControl w:val="1"/>
      <w:pBdr>
        <w:top w:space="0" w:sz="0" w:val="nil"/>
        <w:left w:space="0" w:sz="0" w:val="nil"/>
        <w:bottom w:color="7197ca" w:space="1" w:sz="24" w:val="single"/>
        <w:right w:space="0" w:sz="0" w:val="nil"/>
        <w:between w:space="0" w:sz="0" w:val="nil"/>
      </w:pBdr>
      <w:shd w:fill="auto" w:val="clear"/>
      <w:spacing w:after="0" w:before="0" w:line="3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i w:val="1"/>
        <w:color w:val="ff0000"/>
        <w:rtl w:val="0"/>
      </w:rPr>
      <w:t xml:space="preserve">Nächster dänischer Wasserversorger setzt auf das CARIX Verfahren von Veolia</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-136524</wp:posOffset>
              </wp:positionH>
              <wp:positionV relativeFrom="paragraph">
                <wp:posOffset>266700</wp:posOffset>
              </wp:positionV>
              <wp:extent cx="6146651" cy="1861310"/>
              <wp:effectExtent b="0" l="0" r="0" t="0"/>
              <wp:wrapSquare wrapText="bothSides" distB="114300" distT="114300" distL="114300" distR="114300"/>
              <wp:docPr id="1" name=""/>
              <a:graphic>
                <a:graphicData uri="http://schemas.microsoft.com/office/word/2010/wordprocessingGroup">
                  <wpg:wgp>
                    <wpg:cNvGrpSpPr/>
                    <wpg:grpSpPr>
                      <a:xfrm>
                        <a:off x="152400" y="152400"/>
                        <a:ext cx="6146651" cy="1861310"/>
                        <a:chOff x="152400" y="152400"/>
                        <a:chExt cx="9448825" cy="2851025"/>
                      </a:xfrm>
                    </wpg:grpSpPr>
                    <pic:pic>
                      <pic:nvPicPr>
                        <pic:cNvPr descr="Boiler Blau.png" id="2" name="Shape 2"/>
                        <pic:cNvPicPr preferRelativeResize="0"/>
                      </pic:nvPicPr>
                      <pic:blipFill>
                        <a:blip r:embed="rId1">
                          <a:alphaModFix/>
                        </a:blip>
                        <a:stretch>
                          <a:fillRect/>
                        </a:stretch>
                      </pic:blipFill>
                      <pic:spPr>
                        <a:xfrm>
                          <a:off x="152400" y="152400"/>
                          <a:ext cx="9448801" cy="2851006"/>
                        </a:xfrm>
                        <a:prstGeom prst="rect">
                          <a:avLst/>
                        </a:prstGeom>
                        <a:noFill/>
                        <a:ln>
                          <a:noFill/>
                        </a:ln>
                      </pic:spPr>
                    </pic:pic>
                    <wps:wsp>
                      <wps:cNvSpPr txBox="1"/>
                      <wps:cNvPr id="3" name="Shape 3"/>
                      <wps:spPr>
                        <a:xfrm>
                          <a:off x="798725" y="1597450"/>
                          <a:ext cx="6896400" cy="122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t xml:space="preserve">Presseinformation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2"/>
                                <w:vertAlign w:val="baseline"/>
                              </w:rPr>
                            </w:r>
                            <w:r w:rsidDel="00000000" w:rsidR="00000000" w:rsidRPr="00000000">
                              <w:rPr>
                                <w:rFonts w:ascii="Arial" w:cs="Arial" w:eastAsia="Arial" w:hAnsi="Arial"/>
                                <w:b w:val="0"/>
                                <w:i w:val="0"/>
                                <w:smallCaps w:val="0"/>
                                <w:strike w:val="0"/>
                                <w:color w:val="ffffff"/>
                                <w:sz w:val="40"/>
                                <w:vertAlign w:val="baseline"/>
                              </w:rPr>
                              <w:t xml:space="preserve">Veolia Water Technologies - Celle, 17. November 2022</w:t>
                            </w:r>
                          </w:p>
                        </w:txbxContent>
                      </wps:txbx>
                      <wps:bodyPr anchorCtr="0" anchor="t"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-136524</wp:posOffset>
              </wp:positionH>
              <wp:positionV relativeFrom="paragraph">
                <wp:posOffset>266700</wp:posOffset>
              </wp:positionV>
              <wp:extent cx="6146651" cy="186131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46651" cy="1861310"/>
                      </a:xfrm>
                      <a:prstGeom prst="rect"/>
                      <a:ln/>
                    </pic:spPr>
                  </pic:pic>
                </a:graphicData>
              </a:graphic>
            </wp:anchor>
          </w:drawing>
        </mc:Fallback>
      </mc:AlternateContent>
    </w:r>
  </w:p>
  <w:p w:rsidR="00000000" w:rsidDel="00000000" w:rsidP="00000000" w:rsidRDefault="00000000" w:rsidRPr="00000000" w14:paraId="0000004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lang w:val="de-DE"/>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line="696" w:lineRule="auto"/>
    </w:pPr>
    <w:rPr>
      <w:color w:val="ffffff"/>
      <w:sz w:val="58"/>
      <w:szCs w:val="58"/>
    </w:rPr>
  </w:style>
  <w:style w:type="paragraph" w:styleId="Heading2">
    <w:name w:val="heading 2"/>
    <w:basedOn w:val="Normal"/>
    <w:next w:val="Normal"/>
    <w:pPr>
      <w:keepNext w:val="1"/>
      <w:pageBreakBefore w:val="0"/>
      <w:spacing w:after="100" w:lineRule="auto"/>
    </w:pPr>
    <w:rPr>
      <w:color w:val="7197ca"/>
      <w:sz w:val="34"/>
      <w:szCs w:val="34"/>
    </w:rPr>
  </w:style>
  <w:style w:type="paragraph" w:styleId="Heading3">
    <w:name w:val="heading 3"/>
    <w:basedOn w:val="Normal"/>
    <w:next w:val="Normal"/>
    <w:pPr>
      <w:keepNext w:val="1"/>
      <w:pageBreakBefore w:val="0"/>
      <w:spacing w:after="240" w:lineRule="auto"/>
    </w:pPr>
    <w:rPr>
      <w:b w:val="1"/>
      <w:sz w:val="24"/>
      <w:szCs w:val="24"/>
    </w:rPr>
  </w:style>
  <w:style w:type="paragraph" w:styleId="Heading4">
    <w:name w:val="heading 4"/>
    <w:basedOn w:val="Normal"/>
    <w:next w:val="Normal"/>
    <w:pPr>
      <w:keepNext w:val="1"/>
      <w:pageBreakBefore w:val="0"/>
      <w:spacing w:after="6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www.veolia.com" TargetMode="External"/><Relationship Id="rId10" Type="http://schemas.openxmlformats.org/officeDocument/2006/relationships/hyperlink" Target="http://www.veoliawatertechnologies.de" TargetMode="External"/><Relationship Id="rId13" Type="http://schemas.openxmlformats.org/officeDocument/2006/relationships/hyperlink" Target="http://www.veoliawatertechnologies.de" TargetMode="External"/><Relationship Id="rId12" Type="http://schemas.openxmlformats.org/officeDocument/2006/relationships/hyperlink" Target="mailto:uwe.sauer@veoli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hyperlink" Target="http://www.veoliawatertechnologies.de" TargetMode="External"/><Relationship Id="rId14" Type="http://schemas.openxmlformats.org/officeDocument/2006/relationships/hyperlink" Target="mailto:tobias.jungke@veolia.com"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image" Target="media/image6.jpg"/><Relationship Id="rId18" Type="http://schemas.openxmlformats.org/officeDocument/2006/relationships/footer" Target="footer1.xml"/><Relationship Id="rId7" Type="http://schemas.openxmlformats.org/officeDocument/2006/relationships/image" Target="media/image2.jpg"/><Relationship Id="rId8"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