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3F20" w14:textId="77777777" w:rsidR="00485976" w:rsidRDefault="00485976" w:rsidP="00863541">
      <w:pPr>
        <w:spacing w:line="276" w:lineRule="auto"/>
        <w:ind w:right="1133"/>
        <w:rPr>
          <w:b/>
          <w:sz w:val="28"/>
          <w:szCs w:val="28"/>
        </w:rPr>
      </w:pPr>
      <w:bookmarkStart w:id="0" w:name="OLE_LINK1"/>
      <w:bookmarkStart w:id="1" w:name="OLE_LINK2"/>
    </w:p>
    <w:p w14:paraId="261B7B6E" w14:textId="77777777" w:rsidR="00833C54" w:rsidRPr="00273B51" w:rsidRDefault="00637E09" w:rsidP="00BF2C02">
      <w:pPr>
        <w:widowControl w:val="0"/>
        <w:suppressAutoHyphens/>
        <w:spacing w:afterLines="60" w:after="144" w:line="24" w:lineRule="atLeast"/>
        <w:rPr>
          <w:rFonts w:cs="Arial"/>
          <w:b/>
          <w:color w:val="000000" w:themeColor="text1"/>
          <w:sz w:val="28"/>
          <w:szCs w:val="28"/>
        </w:rPr>
      </w:pPr>
      <w:r w:rsidRPr="00273B51">
        <w:rPr>
          <w:rFonts w:cs="Arial"/>
          <w:b/>
          <w:color w:val="000000" w:themeColor="text1"/>
          <w:sz w:val="28"/>
          <w:szCs w:val="28"/>
        </w:rPr>
        <w:t xml:space="preserve">apoBank </w:t>
      </w:r>
      <w:proofErr w:type="gramStart"/>
      <w:r w:rsidR="00273B51" w:rsidRPr="00273B51">
        <w:rPr>
          <w:rFonts w:cs="Arial"/>
          <w:b/>
          <w:color w:val="000000" w:themeColor="text1"/>
          <w:sz w:val="28"/>
          <w:szCs w:val="28"/>
        </w:rPr>
        <w:t>baut</w:t>
      </w:r>
      <w:proofErr w:type="gramEnd"/>
      <w:r w:rsidR="00273B51" w:rsidRPr="00273B51">
        <w:rPr>
          <w:rFonts w:cs="Arial"/>
          <w:b/>
          <w:color w:val="000000" w:themeColor="text1"/>
          <w:sz w:val="28"/>
          <w:szCs w:val="28"/>
        </w:rPr>
        <w:t xml:space="preserve"> operative Erträge im ersten Halbjahr</w:t>
      </w:r>
      <w:r w:rsidR="00C32304" w:rsidRPr="00273B51">
        <w:rPr>
          <w:rFonts w:cs="Arial"/>
          <w:b/>
          <w:color w:val="000000" w:themeColor="text1"/>
          <w:sz w:val="28"/>
          <w:szCs w:val="28"/>
        </w:rPr>
        <w:t xml:space="preserve"> 2018</w:t>
      </w:r>
      <w:r w:rsidR="00273B51" w:rsidRPr="00273B51">
        <w:rPr>
          <w:rFonts w:cs="Arial"/>
          <w:b/>
          <w:color w:val="000000" w:themeColor="text1"/>
          <w:sz w:val="28"/>
          <w:szCs w:val="28"/>
        </w:rPr>
        <w:t xml:space="preserve"> aus</w:t>
      </w:r>
    </w:p>
    <w:p w14:paraId="075AE569" w14:textId="77777777" w:rsidR="00BD73F7" w:rsidRPr="00273B51" w:rsidRDefault="004D18F3" w:rsidP="00BD73F7">
      <w:pPr>
        <w:numPr>
          <w:ilvl w:val="0"/>
          <w:numId w:val="5"/>
        </w:numPr>
        <w:tabs>
          <w:tab w:val="clear" w:pos="757"/>
          <w:tab w:val="num" w:pos="284"/>
        </w:tabs>
        <w:spacing w:afterLines="60" w:after="144" w:line="24" w:lineRule="atLeast"/>
        <w:ind w:left="284" w:hanging="284"/>
        <w:rPr>
          <w:rFonts w:cs="Arial"/>
          <w:b/>
          <w:color w:val="000000" w:themeColor="text1"/>
          <w:spacing w:val="1"/>
          <w:sz w:val="24"/>
          <w:szCs w:val="24"/>
        </w:rPr>
      </w:pPr>
      <w:r w:rsidRPr="00273B51">
        <w:rPr>
          <w:rFonts w:cs="Arial"/>
          <w:b/>
          <w:color w:val="000000" w:themeColor="text1"/>
          <w:spacing w:val="1"/>
          <w:sz w:val="24"/>
          <w:szCs w:val="24"/>
        </w:rPr>
        <w:t xml:space="preserve">Weiter wachsende </w:t>
      </w:r>
      <w:r w:rsidR="00BD73F7" w:rsidRPr="00273B51">
        <w:rPr>
          <w:rFonts w:cs="Arial"/>
          <w:b/>
          <w:color w:val="000000" w:themeColor="text1"/>
          <w:spacing w:val="1"/>
          <w:sz w:val="24"/>
          <w:szCs w:val="24"/>
        </w:rPr>
        <w:t>Kunden- und Mitgliederzahl</w:t>
      </w:r>
      <w:r w:rsidRPr="00273B51">
        <w:rPr>
          <w:rFonts w:cs="Arial"/>
          <w:b/>
          <w:color w:val="000000" w:themeColor="text1"/>
          <w:spacing w:val="1"/>
          <w:sz w:val="24"/>
          <w:szCs w:val="24"/>
        </w:rPr>
        <w:t>en</w:t>
      </w:r>
      <w:r w:rsidR="00BD73F7" w:rsidRPr="00273B51">
        <w:rPr>
          <w:rFonts w:cs="Arial"/>
          <w:b/>
          <w:color w:val="000000" w:themeColor="text1"/>
          <w:spacing w:val="1"/>
          <w:sz w:val="24"/>
          <w:szCs w:val="24"/>
        </w:rPr>
        <w:t xml:space="preserve"> </w:t>
      </w:r>
    </w:p>
    <w:p w14:paraId="451F9455" w14:textId="662D4666" w:rsidR="00C32304" w:rsidRPr="00273B51" w:rsidRDefault="0005195A" w:rsidP="00BD73F7">
      <w:pPr>
        <w:numPr>
          <w:ilvl w:val="0"/>
          <w:numId w:val="5"/>
        </w:numPr>
        <w:tabs>
          <w:tab w:val="clear" w:pos="757"/>
          <w:tab w:val="num" w:pos="284"/>
        </w:tabs>
        <w:spacing w:afterLines="60" w:after="144" w:line="24" w:lineRule="atLeast"/>
        <w:ind w:left="284" w:hanging="284"/>
        <w:rPr>
          <w:rFonts w:cs="Arial"/>
          <w:b/>
          <w:color w:val="000000" w:themeColor="text1"/>
          <w:spacing w:val="1"/>
          <w:sz w:val="24"/>
          <w:szCs w:val="24"/>
        </w:rPr>
      </w:pPr>
      <w:r>
        <w:rPr>
          <w:rFonts w:cs="Arial"/>
          <w:b/>
          <w:color w:val="000000" w:themeColor="text1"/>
          <w:spacing w:val="1"/>
          <w:sz w:val="24"/>
          <w:szCs w:val="24"/>
        </w:rPr>
        <w:t xml:space="preserve">Anhaltend </w:t>
      </w:r>
      <w:r w:rsidR="00C32304" w:rsidRPr="00273B51">
        <w:rPr>
          <w:rFonts w:cs="Arial"/>
          <w:b/>
          <w:color w:val="000000" w:themeColor="text1"/>
          <w:spacing w:val="1"/>
          <w:sz w:val="24"/>
          <w:szCs w:val="24"/>
        </w:rPr>
        <w:t>dynamische Volumenentwicklung im Kreditgeschäft</w:t>
      </w:r>
    </w:p>
    <w:p w14:paraId="678A5AA4" w14:textId="77777777" w:rsidR="00273B51" w:rsidRPr="00273B51" w:rsidRDefault="00273B51" w:rsidP="00273B51">
      <w:pPr>
        <w:numPr>
          <w:ilvl w:val="0"/>
          <w:numId w:val="5"/>
        </w:numPr>
        <w:tabs>
          <w:tab w:val="clear" w:pos="757"/>
          <w:tab w:val="num" w:pos="284"/>
        </w:tabs>
        <w:spacing w:afterLines="60" w:after="144" w:line="24" w:lineRule="atLeast"/>
        <w:ind w:left="284" w:hanging="284"/>
        <w:rPr>
          <w:rFonts w:cs="Arial"/>
          <w:b/>
          <w:color w:val="000000" w:themeColor="text1"/>
          <w:spacing w:val="1"/>
          <w:sz w:val="24"/>
          <w:szCs w:val="24"/>
        </w:rPr>
      </w:pPr>
      <w:r w:rsidRPr="00273B51">
        <w:rPr>
          <w:rFonts w:cs="Arial"/>
          <w:b/>
          <w:color w:val="000000" w:themeColor="text1"/>
          <w:spacing w:val="1"/>
          <w:sz w:val="24"/>
          <w:szCs w:val="24"/>
        </w:rPr>
        <w:t>Stabiler Jahresüberschuss nach Steuern in Höhe von 31,4 Mio. Euro</w:t>
      </w:r>
    </w:p>
    <w:p w14:paraId="41C436A5" w14:textId="77777777" w:rsidR="00E32880" w:rsidRPr="00273B51" w:rsidRDefault="00211708" w:rsidP="00CB0886">
      <w:pPr>
        <w:numPr>
          <w:ilvl w:val="0"/>
          <w:numId w:val="5"/>
        </w:numPr>
        <w:tabs>
          <w:tab w:val="clear" w:pos="757"/>
          <w:tab w:val="num" w:pos="284"/>
        </w:tabs>
        <w:spacing w:afterLines="60" w:after="144" w:line="24" w:lineRule="atLeast"/>
        <w:ind w:left="284" w:hanging="284"/>
        <w:rPr>
          <w:rFonts w:cs="Arial"/>
          <w:b/>
          <w:color w:val="000000" w:themeColor="text1"/>
          <w:spacing w:val="1"/>
          <w:sz w:val="24"/>
          <w:szCs w:val="24"/>
        </w:rPr>
      </w:pPr>
      <w:r w:rsidRPr="00273B51">
        <w:rPr>
          <w:rFonts w:cs="Arial"/>
          <w:b/>
          <w:color w:val="000000" w:themeColor="text1"/>
          <w:spacing w:val="1"/>
          <w:sz w:val="24"/>
          <w:szCs w:val="24"/>
        </w:rPr>
        <w:t>Stabile Dividende für Gesamtjahr geplant</w:t>
      </w:r>
    </w:p>
    <w:p w14:paraId="1F713574" w14:textId="71F2B3BC" w:rsidR="00E231AD" w:rsidRDefault="00E32880" w:rsidP="0035569F">
      <w:pPr>
        <w:spacing w:before="240" w:after="200" w:line="280" w:lineRule="atLeast"/>
        <w:ind w:right="992"/>
      </w:pPr>
      <w:r w:rsidRPr="00A4033B">
        <w:t xml:space="preserve">Die Deutsche Apotheker- und Ärztebank (apoBank) hat </w:t>
      </w:r>
      <w:r w:rsidR="006765EB" w:rsidRPr="00A4033B">
        <w:t xml:space="preserve">im </w:t>
      </w:r>
      <w:r w:rsidRPr="00A4033B">
        <w:t>erste</w:t>
      </w:r>
      <w:r w:rsidR="006765EB" w:rsidRPr="00A4033B">
        <w:t>n</w:t>
      </w:r>
      <w:r w:rsidR="005E3BFD">
        <w:t xml:space="preserve"> Halbjahr 201</w:t>
      </w:r>
      <w:r w:rsidR="00C32304">
        <w:t>8</w:t>
      </w:r>
      <w:r w:rsidRPr="00A4033B">
        <w:t xml:space="preserve"> eine</w:t>
      </w:r>
      <w:r w:rsidR="006765EB" w:rsidRPr="00A4033B">
        <w:t>n</w:t>
      </w:r>
      <w:r w:rsidR="00216FCB">
        <w:t xml:space="preserve"> </w:t>
      </w:r>
      <w:r w:rsidR="00C46AAB">
        <w:t xml:space="preserve">stabilen </w:t>
      </w:r>
      <w:r w:rsidR="00216FCB">
        <w:t>Jahresüberschuss in Höhe von 3</w:t>
      </w:r>
      <w:r w:rsidR="00C32304">
        <w:t>1</w:t>
      </w:r>
      <w:r w:rsidR="00980CC0" w:rsidRPr="00A4033B">
        <w:t>,</w:t>
      </w:r>
      <w:r w:rsidR="00C32304">
        <w:t>4</w:t>
      </w:r>
      <w:r w:rsidRPr="00A4033B">
        <w:t xml:space="preserve"> Mio.</w:t>
      </w:r>
      <w:r w:rsidR="003C483A">
        <w:t> </w:t>
      </w:r>
      <w:r w:rsidRPr="00A4033B">
        <w:t xml:space="preserve">Euro </w:t>
      </w:r>
      <w:r w:rsidR="006765EB" w:rsidRPr="00A4033B">
        <w:t xml:space="preserve">erwirtschaftet </w:t>
      </w:r>
      <w:r w:rsidRPr="00A4033B">
        <w:t>(30.06.201</w:t>
      </w:r>
      <w:r w:rsidR="00C32304">
        <w:t>7</w:t>
      </w:r>
      <w:r w:rsidRPr="00A4033B">
        <w:t xml:space="preserve">: </w:t>
      </w:r>
      <w:r w:rsidR="00C32304">
        <w:t>30,9</w:t>
      </w:r>
      <w:r w:rsidR="00980CC0" w:rsidRPr="00A4033B">
        <w:t xml:space="preserve"> </w:t>
      </w:r>
      <w:r w:rsidRPr="00A4033B">
        <w:t xml:space="preserve">Mio. Euro). </w:t>
      </w:r>
      <w:r w:rsidR="00273B51">
        <w:t xml:space="preserve">In einem anspruchsvollen Umfeld gelang es der Bank, </w:t>
      </w:r>
      <w:r w:rsidR="008B2B40">
        <w:t xml:space="preserve">ihre </w:t>
      </w:r>
      <w:r w:rsidR="00273B51">
        <w:t xml:space="preserve">operativen Erträge zu steigern. </w:t>
      </w:r>
      <w:r w:rsidR="00330377">
        <w:t xml:space="preserve">Aufgrund der wie erwartet höheren Aufwendungen infolge </w:t>
      </w:r>
      <w:r w:rsidR="00E10D6A">
        <w:t xml:space="preserve">ihrer </w:t>
      </w:r>
      <w:r w:rsidR="00330377">
        <w:t>IT-Migration und u</w:t>
      </w:r>
      <w:r w:rsidR="00273B51">
        <w:t xml:space="preserve">mfangreicher </w:t>
      </w:r>
      <w:proofErr w:type="spellStart"/>
      <w:r w:rsidR="00273B51">
        <w:t>Reservenbildung</w:t>
      </w:r>
      <w:proofErr w:type="spellEnd"/>
      <w:r w:rsidR="00273B51">
        <w:t xml:space="preserve"> </w:t>
      </w:r>
      <w:r w:rsidR="00801178">
        <w:t xml:space="preserve">betrug </w:t>
      </w:r>
      <w:r w:rsidR="00273B51">
        <w:t>d</w:t>
      </w:r>
      <w:r w:rsidR="005E3BFD">
        <w:t xml:space="preserve">as </w:t>
      </w:r>
      <w:r w:rsidR="00980CC0" w:rsidRPr="00A4033B">
        <w:t xml:space="preserve">Betriebsergebnis vor Steuern </w:t>
      </w:r>
      <w:r w:rsidR="00C32304">
        <w:t>53,3</w:t>
      </w:r>
      <w:r w:rsidR="00800204">
        <w:t> </w:t>
      </w:r>
      <w:r w:rsidR="00980CC0" w:rsidRPr="00A4033B">
        <w:t>Mio.</w:t>
      </w:r>
      <w:r w:rsidR="00800204">
        <w:t> </w:t>
      </w:r>
      <w:r w:rsidR="00980CC0" w:rsidRPr="00A4033B">
        <w:t xml:space="preserve">Euro </w:t>
      </w:r>
      <w:r w:rsidR="00CF400C">
        <w:t>(</w:t>
      </w:r>
      <w:r w:rsidR="000B42C6">
        <w:t>30.06.</w:t>
      </w:r>
      <w:r w:rsidR="00C32304">
        <w:t>2017</w:t>
      </w:r>
      <w:r w:rsidR="00CF400C">
        <w:t xml:space="preserve">: </w:t>
      </w:r>
      <w:r w:rsidR="005E3BFD">
        <w:t>77,</w:t>
      </w:r>
      <w:r w:rsidR="00C32304">
        <w:t>7</w:t>
      </w:r>
      <w:r w:rsidR="0063233B">
        <w:t> </w:t>
      </w:r>
      <w:r w:rsidR="00CF400C">
        <w:t>Mio.</w:t>
      </w:r>
      <w:r w:rsidR="0063233B">
        <w:t> </w:t>
      </w:r>
      <w:r w:rsidR="00CF400C">
        <w:t>Euro</w:t>
      </w:r>
      <w:r w:rsidR="000B42C6">
        <w:t>)</w:t>
      </w:r>
      <w:r w:rsidR="00980CC0" w:rsidRPr="00A4033B">
        <w:t xml:space="preserve">. </w:t>
      </w:r>
    </w:p>
    <w:p w14:paraId="551C70FD" w14:textId="6546686E" w:rsidR="00E73B7A" w:rsidRDefault="00B32C4C" w:rsidP="001D611A">
      <w:pPr>
        <w:spacing w:after="200" w:line="280" w:lineRule="atLeast"/>
        <w:ind w:right="992"/>
      </w:pPr>
      <w:r>
        <w:t xml:space="preserve">Der Zuwachs bei Kunden und Mitgliedern </w:t>
      </w:r>
      <w:r w:rsidR="00D11D37">
        <w:t xml:space="preserve">war </w:t>
      </w:r>
      <w:r>
        <w:t xml:space="preserve">ungebrochen. </w:t>
      </w:r>
      <w:r w:rsidR="004C29D9">
        <w:t xml:space="preserve">Die Zahl der Kunden stieg </w:t>
      </w:r>
      <w:r w:rsidR="00DD0FA3">
        <w:t xml:space="preserve">auf </w:t>
      </w:r>
      <w:r w:rsidR="005E3BFD">
        <w:t>4</w:t>
      </w:r>
      <w:r w:rsidR="00C32304">
        <w:t>48.300</w:t>
      </w:r>
      <w:r w:rsidR="0005195A">
        <w:t xml:space="preserve"> (31.12.2017: 436.260)</w:t>
      </w:r>
      <w:r w:rsidR="00DF56C9">
        <w:t>, d</w:t>
      </w:r>
      <w:r w:rsidR="00345D48">
        <w:t xml:space="preserve">ie Mitgliederzahl erhöhte sich auf </w:t>
      </w:r>
      <w:r w:rsidR="00C32304">
        <w:t>112.210</w:t>
      </w:r>
      <w:r w:rsidR="00345D48" w:rsidDel="002E4477">
        <w:t xml:space="preserve"> (31.12.201</w:t>
      </w:r>
      <w:r w:rsidR="00C32304">
        <w:t>7: 111.494</w:t>
      </w:r>
      <w:r w:rsidR="00345D48" w:rsidDel="002E4477">
        <w:t xml:space="preserve">). </w:t>
      </w:r>
    </w:p>
    <w:p w14:paraId="3F278F8C" w14:textId="6F9D62E2" w:rsidR="00801178" w:rsidRDefault="0005195A" w:rsidP="001D611A">
      <w:pPr>
        <w:spacing w:after="200" w:line="280" w:lineRule="atLeast"/>
        <w:ind w:right="992"/>
      </w:pPr>
      <w:r>
        <w:t>I</w:t>
      </w:r>
      <w:r w:rsidR="007319D4">
        <w:t xml:space="preserve">m Privat- und Firmenkundengeschäft </w:t>
      </w:r>
      <w:r w:rsidR="0035569F">
        <w:t>verzeichnete</w:t>
      </w:r>
      <w:r w:rsidR="000161E9">
        <w:t xml:space="preserve"> </w:t>
      </w:r>
      <w:r w:rsidR="0035569F">
        <w:t xml:space="preserve">die apoBank </w:t>
      </w:r>
      <w:r w:rsidR="007319D4">
        <w:t xml:space="preserve">auch </w:t>
      </w:r>
      <w:r w:rsidR="00E70A1F">
        <w:t>im ersten Halbjahr</w:t>
      </w:r>
      <w:r w:rsidR="007319D4">
        <w:t xml:space="preserve"> bei einem anhaltenden Konditionenwettbewerb ein erfreuliches</w:t>
      </w:r>
      <w:r w:rsidR="0035569F">
        <w:t xml:space="preserve"> </w:t>
      </w:r>
      <w:r w:rsidR="007319D4">
        <w:t>Dar</w:t>
      </w:r>
      <w:r w:rsidR="000161E9">
        <w:t>lehensneugeschäft</w:t>
      </w:r>
      <w:r w:rsidR="004F1321">
        <w:t xml:space="preserve">, </w:t>
      </w:r>
      <w:r w:rsidR="007319D4">
        <w:t>das mit</w:t>
      </w:r>
      <w:r w:rsidR="0035569F">
        <w:t xml:space="preserve"> </w:t>
      </w:r>
      <w:r w:rsidR="007319D4">
        <w:t xml:space="preserve">insgesamt </w:t>
      </w:r>
      <w:r w:rsidR="000161E9">
        <w:t>3,</w:t>
      </w:r>
      <w:r w:rsidR="007319D4">
        <w:t>6</w:t>
      </w:r>
      <w:r w:rsidR="00017D99">
        <w:t> </w:t>
      </w:r>
      <w:r w:rsidR="000161E9">
        <w:t xml:space="preserve">Mrd. Euro </w:t>
      </w:r>
      <w:r w:rsidR="00B93F62">
        <w:t xml:space="preserve">den </w:t>
      </w:r>
      <w:r w:rsidR="007319D4">
        <w:t>sehr gute</w:t>
      </w:r>
      <w:r w:rsidR="00B93F62">
        <w:t>n</w:t>
      </w:r>
      <w:r w:rsidR="007319D4">
        <w:t xml:space="preserve"> Vorjahr</w:t>
      </w:r>
      <w:r w:rsidR="00B93F62">
        <w:t>eswert</w:t>
      </w:r>
      <w:r w:rsidR="007319D4">
        <w:t xml:space="preserve"> noch einmal übertroffen hat</w:t>
      </w:r>
      <w:r w:rsidR="000161E9">
        <w:t xml:space="preserve"> (30.06.201</w:t>
      </w:r>
      <w:r w:rsidR="007319D4">
        <w:t>7</w:t>
      </w:r>
      <w:r w:rsidR="000161E9">
        <w:t>: 3,</w:t>
      </w:r>
      <w:r w:rsidR="007319D4">
        <w:t>4</w:t>
      </w:r>
      <w:r w:rsidR="00017D99">
        <w:t> </w:t>
      </w:r>
      <w:r w:rsidR="000161E9">
        <w:t>Mrd.</w:t>
      </w:r>
      <w:r w:rsidR="00017D99">
        <w:t> </w:t>
      </w:r>
      <w:r w:rsidR="000161E9">
        <w:t xml:space="preserve">Euro). </w:t>
      </w:r>
      <w:r w:rsidR="0035569F">
        <w:t xml:space="preserve">Die Kundenkredite </w:t>
      </w:r>
      <w:r w:rsidR="0042644F">
        <w:t>legten auf</w:t>
      </w:r>
      <w:r w:rsidR="0035569F">
        <w:t xml:space="preserve"> 3</w:t>
      </w:r>
      <w:r w:rsidR="007319D4">
        <w:t>3,4</w:t>
      </w:r>
      <w:r w:rsidR="0035569F">
        <w:t xml:space="preserve"> </w:t>
      </w:r>
      <w:r w:rsidR="0035569F" w:rsidRPr="0083680A">
        <w:t>Mrd. Euro</w:t>
      </w:r>
      <w:r w:rsidR="00A0014D">
        <w:t xml:space="preserve"> zu</w:t>
      </w:r>
      <w:r w:rsidR="0087629E">
        <w:t xml:space="preserve"> </w:t>
      </w:r>
      <w:r w:rsidR="004F1321">
        <w:t>(31.12.2017: 32,0 Mrd. Euro)</w:t>
      </w:r>
      <w:r w:rsidR="0035569F" w:rsidRPr="0083680A">
        <w:t xml:space="preserve">. </w:t>
      </w:r>
    </w:p>
    <w:p w14:paraId="788EA40F" w14:textId="054FAEE5" w:rsidR="00114334" w:rsidRDefault="00E73B7A" w:rsidP="00EA64CE">
      <w:pPr>
        <w:spacing w:after="200" w:line="280" w:lineRule="atLeast"/>
        <w:ind w:right="850"/>
      </w:pPr>
      <w:r w:rsidRPr="0083680A">
        <w:t xml:space="preserve">Im provisionstragenden Geschäft </w:t>
      </w:r>
      <w:r w:rsidR="00801178">
        <w:t>stieg t</w:t>
      </w:r>
      <w:r w:rsidR="007319D4">
        <w:t xml:space="preserve">rotz </w:t>
      </w:r>
      <w:r w:rsidR="007126D8">
        <w:t xml:space="preserve">weitgehend stagnierender bzw. rückläufiger globaler Aktienmärkte </w:t>
      </w:r>
      <w:r w:rsidR="007319D4">
        <w:t xml:space="preserve">das Depotvolumen </w:t>
      </w:r>
      <w:r w:rsidR="00801178">
        <w:t xml:space="preserve">der </w:t>
      </w:r>
      <w:r w:rsidR="007319D4">
        <w:t>Privatkunden auf 8,2 Mrd. Euro</w:t>
      </w:r>
      <w:r w:rsidR="009F011F">
        <w:t xml:space="preserve"> </w:t>
      </w:r>
      <w:r w:rsidR="007A5484">
        <w:t xml:space="preserve">an </w:t>
      </w:r>
      <w:r w:rsidR="009F011F">
        <w:t>(31.12.2017: 8,0 Mrd. Euro)</w:t>
      </w:r>
      <w:r w:rsidR="007319D4">
        <w:t>.</w:t>
      </w:r>
      <w:r w:rsidRPr="0083680A">
        <w:t xml:space="preserve"> </w:t>
      </w:r>
      <w:r w:rsidR="00017D99">
        <w:t>Auch i</w:t>
      </w:r>
      <w:r w:rsidR="007319D4">
        <w:t xml:space="preserve">n der Vermögensverwaltung setzte sich der positive Wachstumstrend fort. </w:t>
      </w:r>
      <w:r w:rsidR="004333F9">
        <w:t>Bei nunmehr</w:t>
      </w:r>
      <w:r w:rsidR="00B32C4C">
        <w:t xml:space="preserve"> </w:t>
      </w:r>
      <w:r w:rsidR="000161E9">
        <w:t xml:space="preserve">rund </w:t>
      </w:r>
      <w:r w:rsidR="00CD5290">
        <w:t>8.700</w:t>
      </w:r>
      <w:r w:rsidR="00B32C4C">
        <w:t xml:space="preserve"> Kunden </w:t>
      </w:r>
      <w:r w:rsidR="004333F9">
        <w:t>erreicht</w:t>
      </w:r>
      <w:r w:rsidR="00A21074">
        <w:t>e</w:t>
      </w:r>
      <w:r w:rsidR="004333F9">
        <w:t xml:space="preserve"> das</w:t>
      </w:r>
      <w:r w:rsidR="00B32C4C">
        <w:t xml:space="preserve"> betreute Volumen </w:t>
      </w:r>
      <w:r w:rsidR="00CD5290">
        <w:t>3,4</w:t>
      </w:r>
      <w:r w:rsidR="00E231AD">
        <w:t> </w:t>
      </w:r>
      <w:r w:rsidR="00B32C4C">
        <w:t>Mrd. Euro.</w:t>
      </w:r>
      <w:r>
        <w:t xml:space="preserve"> </w:t>
      </w:r>
      <w:r w:rsidR="00E70A1F">
        <w:t xml:space="preserve">Gleichwohl standen die Provisionserträge unter dem Einfluss der neuen Finanzmarktrichtlinie </w:t>
      </w:r>
      <w:proofErr w:type="spellStart"/>
      <w:r w:rsidR="00E70A1F">
        <w:t>MiFID</w:t>
      </w:r>
      <w:proofErr w:type="spellEnd"/>
      <w:r w:rsidR="00E70A1F">
        <w:t xml:space="preserve"> II. Erfreulich verlief da</w:t>
      </w:r>
      <w:bookmarkStart w:id="2" w:name="_GoBack"/>
      <w:bookmarkEnd w:id="2"/>
      <w:r w:rsidR="00E70A1F">
        <w:t xml:space="preserve">s Geschäft mit den institutionellen Anlegern. Hier </w:t>
      </w:r>
      <w:r w:rsidR="00CD5290">
        <w:t xml:space="preserve">war </w:t>
      </w:r>
      <w:r w:rsidR="00E70A1F">
        <w:t>d</w:t>
      </w:r>
      <w:r w:rsidR="0005195A">
        <w:t xml:space="preserve">ie Nachfrage nach </w:t>
      </w:r>
      <w:r w:rsidR="009D21CE">
        <w:t>Be</w:t>
      </w:r>
      <w:r w:rsidR="00CD5290">
        <w:t>ratungsleistungen</w:t>
      </w:r>
      <w:r w:rsidR="00801178">
        <w:t>, wie z.</w:t>
      </w:r>
      <w:r w:rsidR="009F011F">
        <w:t> </w:t>
      </w:r>
      <w:r w:rsidR="00801178">
        <w:t>B. die Entwicklung individueller Anlagestrategien oder das Portfoliomanagement</w:t>
      </w:r>
      <w:r w:rsidR="00E70A1F">
        <w:t>, unverändert hoch</w:t>
      </w:r>
      <w:r w:rsidR="009D21CE">
        <w:t xml:space="preserve">. </w:t>
      </w:r>
      <w:r w:rsidR="00606D8F">
        <w:t>Zudem stiegen die Zahl der verwahrten Fonds und das Verwahrstellenvolumen an.</w:t>
      </w:r>
    </w:p>
    <w:p w14:paraId="1338B994" w14:textId="77777777" w:rsidR="00836ED4" w:rsidRDefault="00836ED4" w:rsidP="001D611A">
      <w:pPr>
        <w:pStyle w:val="berschrift1"/>
        <w:spacing w:before="0" w:after="200" w:line="280" w:lineRule="atLeast"/>
        <w:ind w:right="992"/>
      </w:pPr>
      <w:r w:rsidRPr="004F7DB3">
        <w:t>Ausblick auf das Gesamtjahr 201</w:t>
      </w:r>
      <w:r w:rsidR="00CD5290">
        <w:t>8</w:t>
      </w:r>
    </w:p>
    <w:p w14:paraId="2698F3EB" w14:textId="5CF53280" w:rsidR="00A40F68" w:rsidRDefault="00C1295C" w:rsidP="001D611A">
      <w:pPr>
        <w:spacing w:after="200" w:line="280" w:lineRule="atLeast"/>
        <w:ind w:right="992"/>
      </w:pPr>
      <w:r>
        <w:t xml:space="preserve">Da eine nachhaltige Trendwende beim Zinsniveau weiterhin nicht absehbar ist, zielt die Bank darauf ab, den Druck auf die Margen über ein risikoadäquates Volumenwachstum im Kreditgeschäft </w:t>
      </w:r>
      <w:r w:rsidR="00172030">
        <w:t>mit ihren Privat-</w:t>
      </w:r>
      <w:r w:rsidR="00297B58">
        <w:t xml:space="preserve"> </w:t>
      </w:r>
      <w:r w:rsidR="00172030">
        <w:t xml:space="preserve">und Firmenkunden </w:t>
      </w:r>
      <w:r>
        <w:t>zu kompensieren. Darüber hinaus will sie ihren Ertragsmix zugunsten des provisionstragenden Geschäfts</w:t>
      </w:r>
      <w:r w:rsidR="00CD5290">
        <w:t xml:space="preserve"> stärken</w:t>
      </w:r>
      <w:r w:rsidR="009D21CE">
        <w:t>.</w:t>
      </w:r>
      <w:r>
        <w:t xml:space="preserve"> </w:t>
      </w:r>
      <w:r w:rsidR="00017D99">
        <w:t xml:space="preserve">Der Fokus liegt auf einer qualitativ hochwertigen Beratung von Privatkunden. </w:t>
      </w:r>
      <w:r w:rsidR="009F011F">
        <w:t xml:space="preserve">Dazu hat sie im Frühsommer alle Wertpapieraktivitäten mit Kunden unter der Marke </w:t>
      </w:r>
      <w:proofErr w:type="spellStart"/>
      <w:r w:rsidR="009F011F">
        <w:t>apoPrivat</w:t>
      </w:r>
      <w:proofErr w:type="spellEnd"/>
      <w:r w:rsidR="009F011F">
        <w:t xml:space="preserve"> gebündelt. Ebenfalls wachsen möchte die Bank im Geschäft mit </w:t>
      </w:r>
      <w:r>
        <w:t>institutionellen Anlegern</w:t>
      </w:r>
      <w:r w:rsidR="00CD5290">
        <w:t>.</w:t>
      </w:r>
      <w:r w:rsidR="009F011F">
        <w:t xml:space="preserve"> </w:t>
      </w:r>
      <w:r w:rsidR="00836ED4" w:rsidRPr="00737358">
        <w:t xml:space="preserve">Insgesamt plant </w:t>
      </w:r>
      <w:r w:rsidR="00BF7CF1">
        <w:t>die apoBank</w:t>
      </w:r>
      <w:r w:rsidR="00836ED4" w:rsidRPr="00737358">
        <w:t xml:space="preserve"> </w:t>
      </w:r>
      <w:r w:rsidR="004653C0">
        <w:t>für das Gesamtjahr 201</w:t>
      </w:r>
      <w:r w:rsidR="00CD5290">
        <w:t>8</w:t>
      </w:r>
      <w:r w:rsidR="004653C0">
        <w:t xml:space="preserve"> </w:t>
      </w:r>
      <w:r w:rsidR="00836ED4" w:rsidRPr="00737358">
        <w:t xml:space="preserve">einen </w:t>
      </w:r>
      <w:r w:rsidR="00345D48">
        <w:t xml:space="preserve">stabilen </w:t>
      </w:r>
      <w:r w:rsidR="00836ED4" w:rsidRPr="00737358">
        <w:t xml:space="preserve">Jahresüberschuss, der ihr </w:t>
      </w:r>
      <w:r w:rsidR="00BF7CF1">
        <w:t>eine</w:t>
      </w:r>
      <w:r w:rsidR="00836ED4">
        <w:t xml:space="preserve"> Stärkung </w:t>
      </w:r>
      <w:r w:rsidR="00BB7835">
        <w:t>der</w:t>
      </w:r>
      <w:r w:rsidR="00BB7835" w:rsidRPr="00737358">
        <w:t xml:space="preserve"> </w:t>
      </w:r>
      <w:r w:rsidR="00836ED4" w:rsidRPr="00737358">
        <w:t xml:space="preserve">Rücklagen und Reserven </w:t>
      </w:r>
      <w:r w:rsidR="00BF7CF1">
        <w:t xml:space="preserve">sowie </w:t>
      </w:r>
      <w:r w:rsidR="00836ED4" w:rsidRPr="00737358">
        <w:t xml:space="preserve">eine </w:t>
      </w:r>
      <w:r w:rsidR="001433B5">
        <w:t>konstante</w:t>
      </w:r>
      <w:r w:rsidR="001433B5" w:rsidRPr="00737358">
        <w:t xml:space="preserve"> </w:t>
      </w:r>
      <w:r w:rsidR="00836ED4" w:rsidRPr="00737358">
        <w:t xml:space="preserve">Dividendenzahlung ermöglicht. </w:t>
      </w:r>
    </w:p>
    <w:p w14:paraId="54D23931" w14:textId="343FD2D7" w:rsidR="00EC4563" w:rsidRDefault="00EC4563" w:rsidP="001D611A">
      <w:pPr>
        <w:spacing w:after="200" w:line="280" w:lineRule="atLeast"/>
        <w:ind w:right="992"/>
        <w:rPr>
          <w:rFonts w:eastAsia="Calibri" w:cs="Tahoma"/>
          <w:lang w:eastAsia="en-US"/>
        </w:rPr>
      </w:pPr>
      <w:r>
        <w:rPr>
          <w:rFonts w:eastAsia="Calibri" w:cs="Tahoma"/>
          <w:lang w:eastAsia="en-US"/>
        </w:rPr>
        <w:lastRenderedPageBreak/>
        <w:t>Ulrich Sommer, Vorstandsvorsitzender der apoBank: „</w:t>
      </w:r>
      <w:r w:rsidR="00372CE3" w:rsidRPr="00BE7D14">
        <w:rPr>
          <w:rFonts w:eastAsia="Calibri" w:cs="Tahoma"/>
          <w:lang w:eastAsia="en-US"/>
        </w:rPr>
        <w:t>In einem intensive</w:t>
      </w:r>
      <w:r w:rsidR="00D11DB9" w:rsidRPr="00BE7D14">
        <w:rPr>
          <w:rFonts w:eastAsia="Calibri" w:cs="Tahoma"/>
          <w:lang w:eastAsia="en-US"/>
        </w:rPr>
        <w:t>n</w:t>
      </w:r>
      <w:r w:rsidR="00372CE3" w:rsidRPr="00BE7D14">
        <w:rPr>
          <w:rFonts w:eastAsia="Calibri" w:cs="Tahoma"/>
          <w:lang w:eastAsia="en-US"/>
        </w:rPr>
        <w:t xml:space="preserve"> Wettbewerb haben wir uns gut im Markt behauptet</w:t>
      </w:r>
      <w:r w:rsidR="008B2B40" w:rsidRPr="00BE7D14">
        <w:rPr>
          <w:rFonts w:eastAsia="Calibri" w:cs="Tahoma"/>
          <w:lang w:eastAsia="en-US"/>
        </w:rPr>
        <w:t>.</w:t>
      </w:r>
      <w:r w:rsidR="004F1321" w:rsidRPr="00BE7D14">
        <w:rPr>
          <w:rFonts w:eastAsia="Calibri" w:cs="Tahoma"/>
          <w:lang w:eastAsia="en-US"/>
        </w:rPr>
        <w:t xml:space="preserve"> Unsere Anstrengungen bei Existenzgründungsfinanzierungen und im Firmenkundengeschäft zahlen sich aus.</w:t>
      </w:r>
      <w:r w:rsidR="00B93F62" w:rsidRPr="00BE7D14">
        <w:rPr>
          <w:rFonts w:eastAsia="Calibri" w:cs="Tahoma"/>
          <w:lang w:eastAsia="en-US"/>
        </w:rPr>
        <w:t xml:space="preserve"> </w:t>
      </w:r>
      <w:r w:rsidR="00D97DA9" w:rsidRPr="00BE7D14">
        <w:rPr>
          <w:rFonts w:eastAsia="Calibri" w:cs="Tahoma"/>
          <w:lang w:eastAsia="en-US"/>
        </w:rPr>
        <w:t xml:space="preserve">Zudem vertrauen unsere Kunden mehr und mehr auf unsere Beratungskompetenz im Wertpapieranlagegeschäft. </w:t>
      </w:r>
      <w:r w:rsidR="00E70A1F" w:rsidRPr="00BE7D14">
        <w:rPr>
          <w:rFonts w:eastAsia="Calibri" w:cs="Tahoma"/>
          <w:lang w:eastAsia="en-US"/>
        </w:rPr>
        <w:t>Weiteres</w:t>
      </w:r>
      <w:r w:rsidR="00E70A1F" w:rsidRPr="009E5403">
        <w:rPr>
          <w:rFonts w:cs="CorpoS"/>
        </w:rPr>
        <w:t xml:space="preserve"> Wachstumsp</w:t>
      </w:r>
      <w:r w:rsidR="00372CE3" w:rsidRPr="009E5403">
        <w:rPr>
          <w:rFonts w:cs="CorpoS"/>
        </w:rPr>
        <w:t xml:space="preserve">otenzial sehe ich </w:t>
      </w:r>
      <w:r w:rsidR="004F1321" w:rsidRPr="009E5403">
        <w:rPr>
          <w:rFonts w:cs="CorpoS"/>
        </w:rPr>
        <w:t xml:space="preserve">für die apoBank </w:t>
      </w:r>
      <w:r w:rsidR="00372CE3" w:rsidRPr="009E5403">
        <w:rPr>
          <w:rFonts w:cs="CorpoS"/>
        </w:rPr>
        <w:t>a</w:t>
      </w:r>
      <w:r w:rsidRPr="009E5403">
        <w:rPr>
          <w:rFonts w:eastAsia="Calibri" w:cs="Tahoma"/>
          <w:lang w:eastAsia="en-US"/>
        </w:rPr>
        <w:t xml:space="preserve">uf lange Sicht </w:t>
      </w:r>
      <w:r w:rsidR="00372CE3" w:rsidRPr="009E5403">
        <w:rPr>
          <w:rFonts w:eastAsia="Calibri" w:cs="Tahoma"/>
          <w:lang w:eastAsia="en-US"/>
        </w:rPr>
        <w:t xml:space="preserve">darin, dass wir uns </w:t>
      </w:r>
      <w:r w:rsidRPr="009E5403">
        <w:rPr>
          <w:rFonts w:eastAsia="Calibri" w:cs="Tahoma"/>
          <w:lang w:eastAsia="en-US"/>
        </w:rPr>
        <w:t xml:space="preserve">an der Schnittstelle von Gesundheits- und Finanzmarkt breiter aufstellen. </w:t>
      </w:r>
      <w:r w:rsidR="00372CE3" w:rsidRPr="009E5403">
        <w:rPr>
          <w:rFonts w:eastAsia="Calibri" w:cs="Tahoma"/>
          <w:lang w:eastAsia="en-US"/>
        </w:rPr>
        <w:t>Wir wollen</w:t>
      </w:r>
      <w:r w:rsidR="00F97662" w:rsidRPr="009E5403">
        <w:rPr>
          <w:rFonts w:eastAsia="Calibri" w:cs="Tahoma"/>
          <w:lang w:eastAsia="en-US"/>
        </w:rPr>
        <w:t xml:space="preserve"> unser</w:t>
      </w:r>
      <w:r w:rsidR="00372CE3" w:rsidRPr="009E5403">
        <w:rPr>
          <w:rFonts w:eastAsia="Calibri" w:cs="Tahoma"/>
          <w:lang w:eastAsia="en-US"/>
        </w:rPr>
        <w:t xml:space="preserve"> einzigartige</w:t>
      </w:r>
      <w:r w:rsidR="00F97662" w:rsidRPr="009E5403">
        <w:rPr>
          <w:rFonts w:eastAsia="Calibri" w:cs="Tahoma"/>
          <w:lang w:eastAsia="en-US"/>
        </w:rPr>
        <w:t>s</w:t>
      </w:r>
      <w:r w:rsidR="00372CE3" w:rsidRPr="009E5403">
        <w:rPr>
          <w:rFonts w:eastAsia="Calibri" w:cs="Tahoma"/>
          <w:lang w:eastAsia="en-US"/>
        </w:rPr>
        <w:t xml:space="preserve"> Know</w:t>
      </w:r>
      <w:r w:rsidR="00372CE3" w:rsidRPr="00EC4563">
        <w:rPr>
          <w:rFonts w:eastAsia="Calibri" w:cs="Tahoma"/>
          <w:lang w:eastAsia="en-US"/>
        </w:rPr>
        <w:t xml:space="preserve">-how </w:t>
      </w:r>
      <w:r w:rsidR="00E70A1F">
        <w:rPr>
          <w:rFonts w:eastAsia="Calibri" w:cs="Tahoma"/>
          <w:lang w:eastAsia="en-US"/>
        </w:rPr>
        <w:t xml:space="preserve">in diesen </w:t>
      </w:r>
      <w:r w:rsidR="00E10D6A">
        <w:rPr>
          <w:rFonts w:eastAsia="Calibri" w:cs="Tahoma"/>
          <w:lang w:eastAsia="en-US"/>
        </w:rPr>
        <w:t xml:space="preserve">beiden </w:t>
      </w:r>
      <w:r w:rsidR="00E70A1F">
        <w:rPr>
          <w:rFonts w:eastAsia="Calibri" w:cs="Tahoma"/>
          <w:lang w:eastAsia="en-US"/>
        </w:rPr>
        <w:t xml:space="preserve">Märkten </w:t>
      </w:r>
      <w:r w:rsidR="00372CE3">
        <w:rPr>
          <w:rFonts w:eastAsia="Calibri" w:cs="Tahoma"/>
          <w:lang w:eastAsia="en-US"/>
        </w:rPr>
        <w:t xml:space="preserve">nutzen und Angebote entwickeln, die über das traditionelle Bankgeschäft </w:t>
      </w:r>
      <w:r w:rsidR="00F97662">
        <w:rPr>
          <w:rFonts w:eastAsia="Calibri" w:cs="Tahoma"/>
          <w:lang w:eastAsia="en-US"/>
        </w:rPr>
        <w:t xml:space="preserve">hinaus </w:t>
      </w:r>
      <w:r w:rsidRPr="00EC4563">
        <w:rPr>
          <w:rFonts w:eastAsia="Calibri" w:cs="Tahoma"/>
          <w:lang w:eastAsia="en-US"/>
        </w:rPr>
        <w:t>einen zusätzlichen Nutzen für Kunden und Mitglieder stiften.</w:t>
      </w:r>
      <w:r w:rsidR="00372CE3">
        <w:rPr>
          <w:rFonts w:eastAsia="Calibri" w:cs="Tahoma"/>
          <w:lang w:eastAsia="en-US"/>
        </w:rPr>
        <w:t>“</w:t>
      </w:r>
    </w:p>
    <w:p w14:paraId="1FE8EDD6" w14:textId="77777777" w:rsidR="00CC7E09" w:rsidRPr="00A40F68" w:rsidRDefault="00CC7E09" w:rsidP="001D611A">
      <w:pPr>
        <w:spacing w:after="200" w:line="280" w:lineRule="atLeast"/>
        <w:ind w:right="992"/>
        <w:rPr>
          <w:rFonts w:eastAsia="Calibri" w:cs="Tahoma"/>
          <w:b/>
          <w:lang w:eastAsia="en-US"/>
        </w:rPr>
      </w:pPr>
      <w:r w:rsidRPr="00A40F68">
        <w:rPr>
          <w:b/>
        </w:rPr>
        <w:t xml:space="preserve">Die Ergebnisse </w:t>
      </w:r>
      <w:r w:rsidR="00B01D1C" w:rsidRPr="00A40F68">
        <w:rPr>
          <w:b/>
        </w:rPr>
        <w:t xml:space="preserve">im </w:t>
      </w:r>
      <w:r w:rsidRPr="00A40F68">
        <w:rPr>
          <w:b/>
        </w:rPr>
        <w:t>ersten Halbjahr 201</w:t>
      </w:r>
      <w:r w:rsidR="00CD5290">
        <w:rPr>
          <w:b/>
        </w:rPr>
        <w:t>8</w:t>
      </w:r>
      <w:r w:rsidR="00A40F68">
        <w:rPr>
          <w:b/>
        </w:rPr>
        <w:t xml:space="preserve"> im Einzelnen</w:t>
      </w:r>
    </w:p>
    <w:p w14:paraId="45F8E6D6" w14:textId="404B7DF8" w:rsidR="00CC7E09" w:rsidRPr="00B94FD6" w:rsidRDefault="00003115" w:rsidP="001D611A">
      <w:pPr>
        <w:spacing w:after="200" w:line="280" w:lineRule="atLeast"/>
        <w:ind w:right="992"/>
      </w:pPr>
      <w:r>
        <w:t>Trotz des anspruchsvollen Umfelds verzeichnete</w:t>
      </w:r>
      <w:r w:rsidR="007176E3">
        <w:t xml:space="preserve"> die Bank</w:t>
      </w:r>
      <w:r>
        <w:t xml:space="preserve"> im</w:t>
      </w:r>
      <w:r w:rsidR="00CC7E09">
        <w:t xml:space="preserve"> </w:t>
      </w:r>
      <w:r w:rsidR="00CC7E09" w:rsidRPr="00CC7E09">
        <w:rPr>
          <w:b/>
        </w:rPr>
        <w:t>Zinsüberschuss</w:t>
      </w:r>
      <w:r w:rsidR="00644F00">
        <w:t xml:space="preserve"> </w:t>
      </w:r>
      <w:r>
        <w:t>mit einem Plus von 4,4</w:t>
      </w:r>
      <w:r w:rsidR="00E70A1F">
        <w:t> </w:t>
      </w:r>
      <w:r>
        <w:t>%</w:t>
      </w:r>
      <w:r w:rsidR="00431E70">
        <w:t xml:space="preserve"> </w:t>
      </w:r>
      <w:r>
        <w:t>ein leichte</w:t>
      </w:r>
      <w:r w:rsidR="00E70A1F">
        <w:t>s</w:t>
      </w:r>
      <w:r>
        <w:t xml:space="preserve"> Wachstum </w:t>
      </w:r>
      <w:r w:rsidR="00431E70">
        <w:t>auf</w:t>
      </w:r>
      <w:r w:rsidR="00644F00">
        <w:t xml:space="preserve"> </w:t>
      </w:r>
      <w:r>
        <w:t>339,7</w:t>
      </w:r>
      <w:r w:rsidR="006D75DC">
        <w:t> </w:t>
      </w:r>
      <w:r w:rsidR="00CC7E09">
        <w:t>Mio. Euro</w:t>
      </w:r>
      <w:r w:rsidR="00431E70">
        <w:t xml:space="preserve"> </w:t>
      </w:r>
      <w:r w:rsidR="00CC7E09">
        <w:t>(30.06.201</w:t>
      </w:r>
      <w:r>
        <w:t>7</w:t>
      </w:r>
      <w:r w:rsidR="00CC7E09">
        <w:t xml:space="preserve">: </w:t>
      </w:r>
      <w:r>
        <w:t>325,3 </w:t>
      </w:r>
      <w:r w:rsidR="00CC7E09">
        <w:t xml:space="preserve">Mio. Euro). </w:t>
      </w:r>
      <w:r>
        <w:t>Verantwortlich waren vor allem eine Volumenausweitung im Kreditgeschäft sowie niedrigere Refinanzierungskosten.</w:t>
      </w:r>
    </w:p>
    <w:p w14:paraId="78BC6D24" w14:textId="0F884E16" w:rsidR="00CC7E09" w:rsidRDefault="002F02EA" w:rsidP="001D611A">
      <w:pPr>
        <w:spacing w:after="200" w:line="280" w:lineRule="atLeast"/>
        <w:ind w:right="992"/>
      </w:pPr>
      <w:r>
        <w:t>Der</w:t>
      </w:r>
      <w:r w:rsidR="003242BA">
        <w:t xml:space="preserve"> </w:t>
      </w:r>
      <w:r w:rsidR="003242BA" w:rsidRPr="00E63653">
        <w:rPr>
          <w:b/>
        </w:rPr>
        <w:t>Provisionsüberschuss</w:t>
      </w:r>
      <w:r w:rsidR="003242BA">
        <w:t xml:space="preserve"> </w:t>
      </w:r>
      <w:r w:rsidR="00003115">
        <w:t>blieb mit</w:t>
      </w:r>
      <w:r>
        <w:t xml:space="preserve"> 8</w:t>
      </w:r>
      <w:r w:rsidR="00003115">
        <w:t>7,1</w:t>
      </w:r>
      <w:r w:rsidR="00880F82">
        <w:t> </w:t>
      </w:r>
      <w:r w:rsidR="00DF5AB8">
        <w:t>Mio.</w:t>
      </w:r>
      <w:r w:rsidR="00880F82">
        <w:t> </w:t>
      </w:r>
      <w:r w:rsidR="00DF5AB8">
        <w:t>Euro</w:t>
      </w:r>
      <w:r w:rsidR="00003115">
        <w:t xml:space="preserve"> stabil auf Vorjahresniveau</w:t>
      </w:r>
      <w:r w:rsidR="001433B5">
        <w:t xml:space="preserve"> </w:t>
      </w:r>
      <w:r w:rsidR="00003115">
        <w:t>(30.06.2017</w:t>
      </w:r>
      <w:r w:rsidR="00DF5AB8">
        <w:t xml:space="preserve">: </w:t>
      </w:r>
      <w:r w:rsidR="00003115">
        <w:t>88,0</w:t>
      </w:r>
      <w:r>
        <w:t> </w:t>
      </w:r>
      <w:r w:rsidR="00DF5AB8">
        <w:t>Mio. Euro</w:t>
      </w:r>
      <w:r w:rsidR="00DF5AB8" w:rsidRPr="0083680A">
        <w:t>)</w:t>
      </w:r>
      <w:r w:rsidR="00644F00" w:rsidRPr="0083680A">
        <w:t xml:space="preserve">. </w:t>
      </w:r>
      <w:r w:rsidR="00003115">
        <w:t xml:space="preserve">Zwar </w:t>
      </w:r>
      <w:r w:rsidR="007176E3">
        <w:t xml:space="preserve">stieg </w:t>
      </w:r>
      <w:r w:rsidR="00003115">
        <w:t xml:space="preserve">das Depotvolumen </w:t>
      </w:r>
      <w:r w:rsidR="007A5484">
        <w:t xml:space="preserve">der </w:t>
      </w:r>
      <w:r w:rsidR="00003115">
        <w:t xml:space="preserve">Privatkunden weiter </w:t>
      </w:r>
      <w:r w:rsidR="007176E3">
        <w:t>an</w:t>
      </w:r>
      <w:r w:rsidR="00003115">
        <w:t>, allerdings belasteten zu Jahresbeginn anspruchsvolle Rahmenbedingungen auf den Finanzm</w:t>
      </w:r>
      <w:r w:rsidR="00273B51">
        <w:t xml:space="preserve">ärkten sowie die seit </w:t>
      </w:r>
      <w:r w:rsidR="00003115">
        <w:t>Januar 2</w:t>
      </w:r>
      <w:r w:rsidR="009F011F">
        <w:t>0</w:t>
      </w:r>
      <w:r w:rsidR="00003115">
        <w:t xml:space="preserve">18 als </w:t>
      </w:r>
      <w:proofErr w:type="spellStart"/>
      <w:r w:rsidR="00003115">
        <w:t>MiFID</w:t>
      </w:r>
      <w:proofErr w:type="spellEnd"/>
      <w:r w:rsidR="00003115">
        <w:t xml:space="preserve"> II bekannte überarbeitete EU-Richtlinie für Wertpapierdienstleistungen das provisionstragende Geschäft. D</w:t>
      </w:r>
      <w:r w:rsidRPr="0083680A">
        <w:t xml:space="preserve">as Geschäft mit </w:t>
      </w:r>
      <w:r w:rsidR="00003115">
        <w:t xml:space="preserve">institutionellen Anlegern </w:t>
      </w:r>
      <w:r w:rsidR="00E10D6A">
        <w:t>hat</w:t>
      </w:r>
      <w:r w:rsidR="007176E3">
        <w:t xml:space="preserve"> die Bank</w:t>
      </w:r>
      <w:r w:rsidR="00003115">
        <w:t xml:space="preserve"> </w:t>
      </w:r>
      <w:r w:rsidR="007176E3">
        <w:t xml:space="preserve">weiter </w:t>
      </w:r>
      <w:r w:rsidR="00003115">
        <w:t>ausgebaut</w:t>
      </w:r>
      <w:r>
        <w:t>.</w:t>
      </w:r>
      <w:r w:rsidR="00B32C4C">
        <w:t xml:space="preserve"> </w:t>
      </w:r>
    </w:p>
    <w:p w14:paraId="6FB3F044" w14:textId="7B86E616" w:rsidR="00E262D4" w:rsidRDefault="004333F9" w:rsidP="001D611A">
      <w:pPr>
        <w:spacing w:after="200" w:line="280" w:lineRule="atLeast"/>
        <w:ind w:right="992"/>
      </w:pPr>
      <w:r>
        <w:t>Der</w:t>
      </w:r>
      <w:r w:rsidR="00E84880">
        <w:t xml:space="preserve"> </w:t>
      </w:r>
      <w:r w:rsidR="00E84880" w:rsidRPr="00E63653">
        <w:rPr>
          <w:b/>
        </w:rPr>
        <w:t>Ver</w:t>
      </w:r>
      <w:r w:rsidR="00E63653" w:rsidRPr="00E63653">
        <w:rPr>
          <w:b/>
        </w:rPr>
        <w:t>w</w:t>
      </w:r>
      <w:r w:rsidR="00E84880" w:rsidRPr="00E63653">
        <w:rPr>
          <w:b/>
        </w:rPr>
        <w:t>altungsaufwand</w:t>
      </w:r>
      <w:r w:rsidR="00E84880">
        <w:t xml:space="preserve"> </w:t>
      </w:r>
      <w:r w:rsidR="007C2E21">
        <w:t>nahm</w:t>
      </w:r>
      <w:r w:rsidR="002F02EA">
        <w:t xml:space="preserve"> um </w:t>
      </w:r>
      <w:r w:rsidR="0045605A">
        <w:t>11,5</w:t>
      </w:r>
      <w:r w:rsidR="007C2E21">
        <w:t> </w:t>
      </w:r>
      <w:r w:rsidR="002F02EA">
        <w:t xml:space="preserve">% auf </w:t>
      </w:r>
      <w:r w:rsidR="0045605A">
        <w:t>288,1</w:t>
      </w:r>
      <w:r w:rsidR="00B94FD6">
        <w:t xml:space="preserve"> Mio. Euro (30.06.201</w:t>
      </w:r>
      <w:r w:rsidR="0045605A">
        <w:t>7</w:t>
      </w:r>
      <w:r w:rsidR="00B94FD6">
        <w:t xml:space="preserve">: </w:t>
      </w:r>
      <w:r w:rsidR="0045605A">
        <w:t xml:space="preserve">258,4 </w:t>
      </w:r>
      <w:r w:rsidR="00B94FD6">
        <w:t>Mio.</w:t>
      </w:r>
      <w:r w:rsidR="006D0659">
        <w:t> </w:t>
      </w:r>
      <w:r w:rsidR="00B94FD6">
        <w:t>Euro)</w:t>
      </w:r>
      <w:r w:rsidR="007C2E21">
        <w:t xml:space="preserve"> zu</w:t>
      </w:r>
      <w:r w:rsidR="00644F00">
        <w:t>.</w:t>
      </w:r>
      <w:r w:rsidR="008C66AC">
        <w:t xml:space="preserve"> </w:t>
      </w:r>
      <w:r w:rsidR="0045605A">
        <w:t>D</w:t>
      </w:r>
      <w:r w:rsidR="002F02EA">
        <w:t xml:space="preserve">er Personalaufwand </w:t>
      </w:r>
      <w:r w:rsidR="0045605A">
        <w:t>lag mit</w:t>
      </w:r>
      <w:r w:rsidR="002F02EA">
        <w:t xml:space="preserve"> 13</w:t>
      </w:r>
      <w:r w:rsidR="0045605A">
        <w:t>0</w:t>
      </w:r>
      <w:r w:rsidR="002F02EA">
        <w:t>,</w:t>
      </w:r>
      <w:r w:rsidR="0045605A">
        <w:t>1</w:t>
      </w:r>
      <w:r w:rsidR="006D0659">
        <w:t> </w:t>
      </w:r>
      <w:r w:rsidR="002F02EA">
        <w:t>Mio.</w:t>
      </w:r>
      <w:r w:rsidR="006D0659">
        <w:t> </w:t>
      </w:r>
      <w:r w:rsidR="002F02EA">
        <w:t>Euro</w:t>
      </w:r>
      <w:r w:rsidR="0045605A">
        <w:t xml:space="preserve"> auf Vorjahresniveau</w:t>
      </w:r>
      <w:r w:rsidR="00AE6958">
        <w:t xml:space="preserve"> (30.06.201</w:t>
      </w:r>
      <w:r w:rsidR="009A4F20">
        <w:t>7</w:t>
      </w:r>
      <w:r w:rsidR="00AE6958">
        <w:t>: 131,3 Mio. Euro)</w:t>
      </w:r>
      <w:r w:rsidR="002F02EA">
        <w:t xml:space="preserve">. Der Sachaufwand inkl. Abschreibungen </w:t>
      </w:r>
      <w:r w:rsidR="0045605A">
        <w:t>stieg kräftig auf</w:t>
      </w:r>
      <w:r w:rsidR="002F02EA">
        <w:t xml:space="preserve"> </w:t>
      </w:r>
      <w:r w:rsidR="0045605A">
        <w:t>158,0</w:t>
      </w:r>
      <w:r w:rsidR="002F02EA">
        <w:t xml:space="preserve"> Mio. Euro (30.06.201</w:t>
      </w:r>
      <w:r w:rsidR="0045605A">
        <w:t>7</w:t>
      </w:r>
      <w:r w:rsidR="002F02EA">
        <w:t>: 127</w:t>
      </w:r>
      <w:r w:rsidR="0045605A">
        <w:t>,1</w:t>
      </w:r>
      <w:r w:rsidR="00A0014D">
        <w:t> </w:t>
      </w:r>
      <w:r w:rsidR="002F02EA">
        <w:t>Mio.</w:t>
      </w:r>
      <w:r w:rsidR="00A0014D">
        <w:t> </w:t>
      </w:r>
      <w:r w:rsidR="002F02EA">
        <w:t xml:space="preserve">Euro). Maßgeblich für den Zuwachs waren </w:t>
      </w:r>
      <w:r w:rsidR="0045605A">
        <w:t xml:space="preserve">vor allem </w:t>
      </w:r>
      <w:r w:rsidR="00F97662">
        <w:t xml:space="preserve">Aufwendungen für </w:t>
      </w:r>
      <w:r w:rsidR="0045605A">
        <w:t>die</w:t>
      </w:r>
      <w:r w:rsidR="00DF5AB8">
        <w:t xml:space="preserve"> IT-Migration</w:t>
      </w:r>
      <w:r w:rsidR="00345D48">
        <w:rPr>
          <w:rFonts w:eastAsia="Calibri"/>
          <w:lang w:eastAsia="en-US"/>
        </w:rPr>
        <w:t>.</w:t>
      </w:r>
      <w:r w:rsidR="00794401">
        <w:rPr>
          <w:rFonts w:eastAsia="Calibri"/>
          <w:lang w:eastAsia="en-US"/>
        </w:rPr>
        <w:t xml:space="preserve"> </w:t>
      </w:r>
    </w:p>
    <w:p w14:paraId="65155A03" w14:textId="2FF0602F" w:rsidR="008041B3" w:rsidRDefault="007A13CD" w:rsidP="001D611A">
      <w:pPr>
        <w:spacing w:after="200" w:line="280" w:lineRule="atLeast"/>
        <w:ind w:right="992"/>
      </w:pPr>
      <w:r>
        <w:t xml:space="preserve">Das </w:t>
      </w:r>
      <w:r w:rsidR="008041B3">
        <w:t>operative Ergebnis, d.</w:t>
      </w:r>
      <w:r w:rsidR="00172030">
        <w:t> </w:t>
      </w:r>
      <w:r w:rsidR="008041B3">
        <w:t xml:space="preserve">h. </w:t>
      </w:r>
      <w:r w:rsidR="000452E8">
        <w:t xml:space="preserve">das </w:t>
      </w:r>
      <w:r w:rsidR="008041B3" w:rsidRPr="008041B3">
        <w:rPr>
          <w:b/>
        </w:rPr>
        <w:t>Teilbetriebsergebnis vor Risikovorsorge</w:t>
      </w:r>
      <w:r w:rsidR="008C66AC" w:rsidRPr="006D0659">
        <w:t>,</w:t>
      </w:r>
      <w:r w:rsidR="000452E8" w:rsidRPr="000452E8">
        <w:t xml:space="preserve"> </w:t>
      </w:r>
      <w:r w:rsidR="0045605A">
        <w:t>erreichte</w:t>
      </w:r>
      <w:r w:rsidR="00986720">
        <w:t xml:space="preserve"> </w:t>
      </w:r>
      <w:r w:rsidR="0045605A">
        <w:t>134,2</w:t>
      </w:r>
      <w:r w:rsidR="00EC2C1B">
        <w:t> </w:t>
      </w:r>
      <w:r w:rsidR="00644F00">
        <w:t>Mio.</w:t>
      </w:r>
      <w:r w:rsidR="0013798A">
        <w:t> </w:t>
      </w:r>
      <w:r w:rsidR="00644F00">
        <w:t xml:space="preserve">Euro </w:t>
      </w:r>
      <w:r w:rsidR="00FF661A">
        <w:t>(30.06.201</w:t>
      </w:r>
      <w:r w:rsidR="00273B51">
        <w:t>7</w:t>
      </w:r>
      <w:r w:rsidR="00644F00">
        <w:t xml:space="preserve">: </w:t>
      </w:r>
      <w:r w:rsidR="0045605A">
        <w:t>158,5</w:t>
      </w:r>
      <w:r w:rsidR="00EC2C1B">
        <w:t> </w:t>
      </w:r>
      <w:r w:rsidR="00644F00">
        <w:t>Mio.</w:t>
      </w:r>
      <w:r w:rsidR="0013798A">
        <w:t> </w:t>
      </w:r>
      <w:r w:rsidR="00644F00">
        <w:t>Euro).</w:t>
      </w:r>
    </w:p>
    <w:p w14:paraId="7F2B01EC" w14:textId="1D13620A" w:rsidR="0050660F" w:rsidRPr="0050660F" w:rsidRDefault="007F1071" w:rsidP="0050660F">
      <w:pPr>
        <w:spacing w:after="200" w:line="280" w:lineRule="atLeast"/>
        <w:ind w:right="992"/>
        <w:rPr>
          <w:rFonts w:eastAsia="Calibri"/>
          <w:lang w:eastAsia="en-US"/>
        </w:rPr>
      </w:pPr>
      <w:r>
        <w:t>Nach einer positiven Risikovorsorge im vergangenen Jahr belief</w:t>
      </w:r>
      <w:r w:rsidR="00AB17AE">
        <w:t>en</w:t>
      </w:r>
      <w:r>
        <w:t xml:space="preserve"> sich d</w:t>
      </w:r>
      <w:r w:rsidR="00167E8F">
        <w:t>ie</w:t>
      </w:r>
      <w:r w:rsidR="00E262D4">
        <w:t xml:space="preserve"> </w:t>
      </w:r>
      <w:r w:rsidR="0062290B">
        <w:t xml:space="preserve">Aufwendungen für </w:t>
      </w:r>
      <w:r w:rsidR="00AB17AE">
        <w:t xml:space="preserve">die </w:t>
      </w:r>
      <w:r w:rsidR="00CC7E09" w:rsidRPr="008041B3">
        <w:rPr>
          <w:b/>
        </w:rPr>
        <w:t>Risiko</w:t>
      </w:r>
      <w:r w:rsidR="00167E8F">
        <w:rPr>
          <w:b/>
        </w:rPr>
        <w:t xml:space="preserve">vorsorge </w:t>
      </w:r>
      <w:r w:rsidR="000B3AB8">
        <w:rPr>
          <w:b/>
        </w:rPr>
        <w:t xml:space="preserve">aus dem </w:t>
      </w:r>
      <w:r w:rsidR="00167E8F">
        <w:rPr>
          <w:b/>
        </w:rPr>
        <w:t>operativen Geschäft</w:t>
      </w:r>
      <w:r w:rsidR="00CC7E09">
        <w:t xml:space="preserve"> </w:t>
      </w:r>
      <w:r w:rsidR="0045605A">
        <w:t>auf sehr niedrige 2,</w:t>
      </w:r>
      <w:r w:rsidR="0061623D">
        <w:t>8</w:t>
      </w:r>
      <w:r w:rsidR="006D0659">
        <w:t> </w:t>
      </w:r>
      <w:r w:rsidR="00167E8F">
        <w:t>Mio.</w:t>
      </w:r>
      <w:r w:rsidR="006D0659">
        <w:t> </w:t>
      </w:r>
      <w:r w:rsidR="00167E8F">
        <w:t>Eur</w:t>
      </w:r>
      <w:r w:rsidR="0045605A">
        <w:t>o.</w:t>
      </w:r>
      <w:r w:rsidR="00CC7E09">
        <w:t xml:space="preserve"> </w:t>
      </w:r>
      <w:r w:rsidR="0050660F" w:rsidRPr="0050660F">
        <w:rPr>
          <w:rFonts w:eastAsia="Calibri"/>
          <w:lang w:eastAsia="en-US"/>
        </w:rPr>
        <w:t xml:space="preserve">Die Nettozuführungen </w:t>
      </w:r>
      <w:r w:rsidR="0045605A">
        <w:rPr>
          <w:rFonts w:eastAsia="Calibri"/>
          <w:lang w:eastAsia="en-US"/>
        </w:rPr>
        <w:t>waren</w:t>
      </w:r>
      <w:r w:rsidR="0050660F" w:rsidRPr="0050660F">
        <w:rPr>
          <w:rFonts w:eastAsia="Calibri"/>
          <w:lang w:eastAsia="en-US"/>
        </w:rPr>
        <w:t xml:space="preserve"> wegen der guten Bonität im Kreditportfolio und </w:t>
      </w:r>
      <w:r w:rsidR="005E062D">
        <w:rPr>
          <w:rFonts w:eastAsia="Calibri"/>
          <w:lang w:eastAsia="en-US"/>
        </w:rPr>
        <w:t>eines</w:t>
      </w:r>
      <w:r w:rsidR="005E062D" w:rsidRPr="0050660F">
        <w:rPr>
          <w:rFonts w:eastAsia="Calibri"/>
          <w:lang w:eastAsia="en-US"/>
        </w:rPr>
        <w:t xml:space="preserve"> </w:t>
      </w:r>
      <w:r w:rsidR="0050660F" w:rsidRPr="0050660F">
        <w:rPr>
          <w:rFonts w:eastAsia="Calibri"/>
          <w:lang w:eastAsia="en-US"/>
        </w:rPr>
        <w:t xml:space="preserve">erfolgreichen Risikomanagements </w:t>
      </w:r>
      <w:r w:rsidR="0045605A">
        <w:rPr>
          <w:rFonts w:eastAsia="Calibri"/>
          <w:lang w:eastAsia="en-US"/>
        </w:rPr>
        <w:t>weiterhin auf einem geringen Niveau</w:t>
      </w:r>
      <w:r w:rsidR="0050660F" w:rsidRPr="0050660F">
        <w:rPr>
          <w:rFonts w:eastAsia="Calibri"/>
          <w:lang w:eastAsia="en-US"/>
        </w:rPr>
        <w:t xml:space="preserve">. </w:t>
      </w:r>
      <w:r w:rsidR="00E70A1F">
        <w:rPr>
          <w:rFonts w:eastAsia="Calibri"/>
          <w:lang w:eastAsia="en-US"/>
        </w:rPr>
        <w:t>Zudem waren d</w:t>
      </w:r>
      <w:r w:rsidR="0050660F" w:rsidRPr="0050660F">
        <w:rPr>
          <w:rFonts w:eastAsia="Calibri"/>
          <w:lang w:eastAsia="en-US"/>
        </w:rPr>
        <w:t xml:space="preserve">ie Eingänge auf bereits abgeschriebene Forderungen </w:t>
      </w:r>
      <w:r w:rsidR="00273B51">
        <w:rPr>
          <w:rFonts w:eastAsia="Calibri"/>
          <w:lang w:eastAsia="en-US"/>
        </w:rPr>
        <w:t>abermals hoch</w:t>
      </w:r>
      <w:r w:rsidR="0050660F" w:rsidRPr="0050660F">
        <w:rPr>
          <w:rFonts w:eastAsia="Calibri"/>
          <w:lang w:eastAsia="en-US"/>
        </w:rPr>
        <w:t xml:space="preserve">. </w:t>
      </w:r>
    </w:p>
    <w:p w14:paraId="2FF5BCF6" w14:textId="4FAD76B1" w:rsidR="0050660F" w:rsidRPr="0050660F" w:rsidRDefault="0050660F" w:rsidP="0050660F">
      <w:pPr>
        <w:spacing w:after="200" w:line="280" w:lineRule="atLeast"/>
        <w:ind w:right="992"/>
        <w:rPr>
          <w:rFonts w:eastAsia="Calibri"/>
          <w:lang w:eastAsia="en-US"/>
        </w:rPr>
      </w:pPr>
      <w:r w:rsidRPr="0050660F">
        <w:rPr>
          <w:rFonts w:eastAsia="Calibri"/>
          <w:lang w:eastAsia="en-US"/>
        </w:rPr>
        <w:t xml:space="preserve">Die </w:t>
      </w:r>
      <w:r w:rsidRPr="0050660F">
        <w:rPr>
          <w:b/>
        </w:rPr>
        <w:t>Risikovorsorge mit Reservecharakter</w:t>
      </w:r>
      <w:r w:rsidRPr="0050660F">
        <w:rPr>
          <w:rFonts w:eastAsia="Calibri"/>
          <w:lang w:eastAsia="en-US"/>
        </w:rPr>
        <w:t xml:space="preserve"> belief sich auf </w:t>
      </w:r>
      <w:r w:rsidR="00273B51">
        <w:rPr>
          <w:rFonts w:eastAsia="Calibri"/>
          <w:lang w:eastAsia="en-US"/>
        </w:rPr>
        <w:t>78,1 Mio. Euro (30.06.2017</w:t>
      </w:r>
      <w:r w:rsidRPr="0050660F">
        <w:rPr>
          <w:rFonts w:eastAsia="Calibri"/>
          <w:lang w:eastAsia="en-US"/>
        </w:rPr>
        <w:t xml:space="preserve">: </w:t>
      </w:r>
      <w:r w:rsidR="00A0014D">
        <w:rPr>
          <w:rFonts w:eastAsia="Calibri"/>
          <w:lang w:eastAsia="en-US"/>
        </w:rPr>
        <w:br w:type="textWrapping" w:clear="all"/>
      </w:r>
      <w:r w:rsidR="00273B51" w:rsidRPr="0050660F">
        <w:rPr>
          <w:rFonts w:eastAsia="Calibri"/>
          <w:lang w:eastAsia="en-US"/>
        </w:rPr>
        <w:t>87,6</w:t>
      </w:r>
      <w:r w:rsidRPr="0050660F">
        <w:rPr>
          <w:rFonts w:eastAsia="Calibri"/>
          <w:lang w:eastAsia="en-US"/>
        </w:rPr>
        <w:t xml:space="preserve"> Mio. Euro). Diese Position umfasst Vorsorgemaßnahmen für etwaige zukünftige Belastungen. </w:t>
      </w:r>
    </w:p>
    <w:p w14:paraId="015EF786" w14:textId="0A09219A" w:rsidR="0050660F" w:rsidRDefault="00E84880" w:rsidP="001D611A">
      <w:pPr>
        <w:spacing w:after="200" w:line="280" w:lineRule="atLeast"/>
        <w:ind w:right="992"/>
      </w:pPr>
      <w:r>
        <w:t xml:space="preserve">Die </w:t>
      </w:r>
      <w:r w:rsidR="000B5D40" w:rsidRPr="004F7DB3">
        <w:rPr>
          <w:b/>
        </w:rPr>
        <w:t>Bilanzsumme</w:t>
      </w:r>
      <w:r w:rsidR="000B5D40">
        <w:t xml:space="preserve"> </w:t>
      </w:r>
      <w:r w:rsidR="00FF661A">
        <w:t>stieg</w:t>
      </w:r>
      <w:r w:rsidR="00B01F8F">
        <w:t xml:space="preserve"> </w:t>
      </w:r>
      <w:r w:rsidR="00167E8F">
        <w:t>zur Jahresmitte</w:t>
      </w:r>
      <w:r w:rsidR="00FF661A">
        <w:t xml:space="preserve"> um </w:t>
      </w:r>
      <w:r w:rsidR="00273B51">
        <w:t>6,5</w:t>
      </w:r>
      <w:r w:rsidR="00836ED4">
        <w:t> </w:t>
      </w:r>
      <w:r w:rsidR="00FF661A">
        <w:t>%</w:t>
      </w:r>
      <w:r w:rsidR="00167E8F">
        <w:t xml:space="preserve"> </w:t>
      </w:r>
      <w:r w:rsidR="00FF661A">
        <w:t>auf</w:t>
      </w:r>
      <w:r w:rsidR="00B01F8F">
        <w:t xml:space="preserve"> </w:t>
      </w:r>
      <w:r w:rsidR="0050660F">
        <w:t>4</w:t>
      </w:r>
      <w:r w:rsidR="00273B51">
        <w:t>4</w:t>
      </w:r>
      <w:r w:rsidR="0050660F">
        <w:t>,</w:t>
      </w:r>
      <w:r w:rsidR="00273B51">
        <w:t>1</w:t>
      </w:r>
      <w:r w:rsidR="000B5D40">
        <w:t xml:space="preserve"> Mrd. Euro (31.12.201</w:t>
      </w:r>
      <w:r w:rsidR="009A4F20">
        <w:t>7</w:t>
      </w:r>
      <w:r w:rsidR="000B5D40">
        <w:t xml:space="preserve">: </w:t>
      </w:r>
      <w:r w:rsidR="00273B51">
        <w:t>41,4</w:t>
      </w:r>
      <w:r w:rsidR="00345D48">
        <w:t> </w:t>
      </w:r>
      <w:r w:rsidR="000B5D40">
        <w:t>Mrd.</w:t>
      </w:r>
      <w:r w:rsidR="00345D48">
        <w:t> </w:t>
      </w:r>
      <w:r w:rsidR="000B5D40">
        <w:t>Euro).</w:t>
      </w:r>
    </w:p>
    <w:p w14:paraId="35B7DF82" w14:textId="4447BBBE" w:rsidR="00945F95" w:rsidRDefault="00017D99" w:rsidP="001D611A">
      <w:pPr>
        <w:spacing w:after="200" w:line="280" w:lineRule="atLeast"/>
        <w:ind w:right="992"/>
        <w:rPr>
          <w:rFonts w:eastAsia="Calibri"/>
          <w:lang w:eastAsia="en-US"/>
        </w:rPr>
      </w:pPr>
      <w:r>
        <w:rPr>
          <w:rFonts w:cs="Arial"/>
          <w:spacing w:val="1"/>
        </w:rPr>
        <w:t xml:space="preserve">Die </w:t>
      </w:r>
      <w:r w:rsidRPr="00017D99">
        <w:rPr>
          <w:rFonts w:cs="Arial"/>
          <w:b/>
          <w:spacing w:val="1"/>
        </w:rPr>
        <w:t>Kapitalposition</w:t>
      </w:r>
      <w:r>
        <w:rPr>
          <w:rFonts w:cs="Arial"/>
          <w:spacing w:val="1"/>
        </w:rPr>
        <w:t xml:space="preserve"> war im ersten Halbjahr 2018 weiter komfortabel, auch wenn die regulatorischen Kapitalquoten</w:t>
      </w:r>
      <w:r w:rsidRPr="00492716">
        <w:rPr>
          <w:rFonts w:cs="Arial"/>
          <w:spacing w:val="1"/>
        </w:rPr>
        <w:t xml:space="preserve"> </w:t>
      </w:r>
      <w:r>
        <w:rPr>
          <w:rFonts w:cs="Arial"/>
          <w:spacing w:val="1"/>
        </w:rPr>
        <w:t xml:space="preserve">auf hohem Niveau etwas zurückgingen. Aufgrund des </w:t>
      </w:r>
      <w:r w:rsidR="00B30016">
        <w:rPr>
          <w:rFonts w:cs="Arial"/>
          <w:spacing w:val="1"/>
        </w:rPr>
        <w:t xml:space="preserve">kräftig </w:t>
      </w:r>
      <w:r>
        <w:rPr>
          <w:rFonts w:cs="Arial"/>
          <w:spacing w:val="1"/>
        </w:rPr>
        <w:t xml:space="preserve">wachsenden Kreditgeschäfts sank die harte Kernkapitalquote auf 18,7 % (31.12.2017: 19,5 %), die Gesamtkapitalquote auf 20,6 % (31.12.2017: 21,8 %). </w:t>
      </w:r>
      <w:r w:rsidR="00945F95">
        <w:rPr>
          <w:color w:val="000000" w:themeColor="text1"/>
        </w:rPr>
        <w:br w:type="page"/>
      </w:r>
    </w:p>
    <w:p w14:paraId="6A063E83" w14:textId="77777777" w:rsidR="00E32880" w:rsidRPr="00E32880" w:rsidRDefault="00045064" w:rsidP="00A47B18">
      <w:pPr>
        <w:tabs>
          <w:tab w:val="left" w:pos="8789"/>
        </w:tabs>
        <w:spacing w:after="160" w:line="276" w:lineRule="auto"/>
        <w:ind w:right="1134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Geschäftsz</w:t>
      </w:r>
      <w:r w:rsidR="00D24566">
        <w:rPr>
          <w:rFonts w:eastAsia="Calibri"/>
          <w:lang w:eastAsia="en-US"/>
        </w:rPr>
        <w:t>ahlen im Überblick</w:t>
      </w:r>
    </w:p>
    <w:tbl>
      <w:tblPr>
        <w:tblW w:w="4513" w:type="pct"/>
        <w:tblInd w:w="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0"/>
        <w:gridCol w:w="1574"/>
        <w:gridCol w:w="1702"/>
        <w:gridCol w:w="1600"/>
      </w:tblGrid>
      <w:tr w:rsidR="00E32880" w:rsidRPr="00D24566" w14:paraId="6A3ED9A5" w14:textId="77777777" w:rsidTr="00F47088">
        <w:trPr>
          <w:trHeight w:val="397"/>
        </w:trPr>
        <w:tc>
          <w:tcPr>
            <w:tcW w:w="2278" w:type="pct"/>
            <w:vAlign w:val="center"/>
          </w:tcPr>
          <w:p w14:paraId="0C9921F4" w14:textId="77777777" w:rsidR="00E32880" w:rsidRPr="00D24566" w:rsidRDefault="00E32880" w:rsidP="00D24566">
            <w:pPr>
              <w:tabs>
                <w:tab w:val="left" w:pos="1095"/>
              </w:tabs>
              <w:ind w:left="127" w:right="267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in Mio. </w:t>
            </w:r>
            <w:r w:rsidR="00045064"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Euro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69B83281" w14:textId="77777777" w:rsidR="00E32880" w:rsidRPr="00D24566" w:rsidRDefault="00E32880" w:rsidP="00C32304">
            <w:pPr>
              <w:ind w:left="128" w:right="125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30.06.201</w:t>
            </w:r>
            <w:r w:rsidR="00C3230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A7666CA" w14:textId="77777777" w:rsidR="00E32880" w:rsidRPr="00D24566" w:rsidRDefault="00E32880" w:rsidP="00C32304">
            <w:pPr>
              <w:ind w:left="165" w:right="267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30.06.201</w:t>
            </w:r>
            <w:r w:rsidR="00C3230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B522AC1" w14:textId="77777777" w:rsidR="00E32880" w:rsidRPr="00D24566" w:rsidRDefault="00E32880" w:rsidP="00C271FE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Veränderung</w:t>
            </w:r>
            <w:r w:rsid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%</w:t>
            </w:r>
            <w:r w:rsidRPr="00D2456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C32304" w:rsidRPr="00D24566" w14:paraId="1887FDB8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08307D3D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Zinsüberschuss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47414F06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339,7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F81660F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325,3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2350EDD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4,4</w:t>
            </w:r>
          </w:p>
        </w:tc>
      </w:tr>
      <w:tr w:rsidR="00C32304" w:rsidRPr="00D24566" w14:paraId="47F54C1E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341D2F9F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Provisionsüberschuss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5EB8ADF1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DF5E5D1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D7E7904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-1,0</w:t>
            </w:r>
          </w:p>
        </w:tc>
      </w:tr>
      <w:tr w:rsidR="00C32304" w:rsidRPr="00D24566" w14:paraId="4BEC519E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2876078C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Verwaltungsaufwand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530C47DF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-288,1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92E10D4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-258,4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7484E30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11,5</w:t>
            </w:r>
          </w:p>
        </w:tc>
      </w:tr>
      <w:tr w:rsidR="00C32304" w:rsidRPr="00D24566" w14:paraId="4867884A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4403ED7E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Teilbetriebsergebnis vor Risikovorsorge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65BAE578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134,2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E021F9C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158,5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283768B" w14:textId="6EA8904A" w:rsidR="00C32304" w:rsidRPr="00D24566" w:rsidRDefault="00397ABD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</w:t>
            </w:r>
            <w:r w:rsidR="00C32304">
              <w:rPr>
                <w:rFonts w:eastAsia="Calibri" w:cs="Arial"/>
                <w:sz w:val="20"/>
                <w:szCs w:val="20"/>
                <w:lang w:eastAsia="en-US"/>
              </w:rPr>
              <w:t>15,3</w:t>
            </w:r>
          </w:p>
        </w:tc>
      </w:tr>
      <w:tr w:rsidR="00C32304" w:rsidRPr="00D24566" w14:paraId="6329EBAC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46E457E6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Risikovorsorge aus dem operativen Geschäft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410CE44D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-2,8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69F3E55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6270CFC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</w:t>
            </w:r>
          </w:p>
        </w:tc>
      </w:tr>
      <w:tr w:rsidR="00C32304" w:rsidRPr="00D24566" w14:paraId="618CB5C7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5A43144D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Risikovorsorge mit Reservecharakter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5A6EC09D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-78,1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5E01D6D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-87,6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1D5C8FE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-10,8</w:t>
            </w:r>
          </w:p>
        </w:tc>
      </w:tr>
      <w:tr w:rsidR="00C32304" w:rsidRPr="00D24566" w14:paraId="20ED5736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6E2676A5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Betriebsergebnis vor Steuern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54A29299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BDEDEC1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01496E3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-31,4</w:t>
            </w:r>
          </w:p>
        </w:tc>
      </w:tr>
      <w:tr w:rsidR="00C32304" w:rsidRPr="00D24566" w14:paraId="78BDEB93" w14:textId="77777777" w:rsidTr="00F47088">
        <w:trPr>
          <w:trHeight w:val="20"/>
        </w:trPr>
        <w:tc>
          <w:tcPr>
            <w:tcW w:w="2278" w:type="pct"/>
            <w:vAlign w:val="center"/>
          </w:tcPr>
          <w:p w14:paraId="4C3776CD" w14:textId="77777777" w:rsidR="00C32304" w:rsidRPr="00D24566" w:rsidRDefault="00C32304" w:rsidP="00C32304">
            <w:pPr>
              <w:ind w:left="127" w:right="267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Jahresüberschuss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nach Steuern</w:t>
            </w:r>
          </w:p>
        </w:tc>
        <w:tc>
          <w:tcPr>
            <w:tcW w:w="879" w:type="pct"/>
            <w:shd w:val="clear" w:color="auto" w:fill="EAEAEA"/>
            <w:vAlign w:val="center"/>
          </w:tcPr>
          <w:p w14:paraId="06D57B8E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6F1AB56" w14:textId="77777777" w:rsidR="00C32304" w:rsidRPr="00D24566" w:rsidRDefault="00C32304" w:rsidP="00C32304">
            <w:pPr>
              <w:ind w:left="-157" w:right="268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893" w:type="pct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046D749" w14:textId="77777777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1,8</w:t>
            </w:r>
          </w:p>
        </w:tc>
      </w:tr>
    </w:tbl>
    <w:p w14:paraId="2903615D" w14:textId="77777777" w:rsidR="00D24566" w:rsidRDefault="00D24566">
      <w:pPr>
        <w:rPr>
          <w:sz w:val="16"/>
          <w:szCs w:val="16"/>
        </w:rPr>
      </w:pPr>
    </w:p>
    <w:p w14:paraId="01BAE31D" w14:textId="77777777" w:rsidR="000223B3" w:rsidRDefault="000223B3">
      <w:pPr>
        <w:rPr>
          <w:sz w:val="16"/>
          <w:szCs w:val="16"/>
        </w:rPr>
      </w:pPr>
    </w:p>
    <w:p w14:paraId="79A77718" w14:textId="77777777" w:rsidR="000223B3" w:rsidRPr="00D24566" w:rsidRDefault="000223B3">
      <w:pPr>
        <w:rPr>
          <w:sz w:val="16"/>
          <w:szCs w:val="16"/>
        </w:rPr>
      </w:pPr>
    </w:p>
    <w:tbl>
      <w:tblPr>
        <w:tblW w:w="4495" w:type="pct"/>
        <w:tblInd w:w="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9"/>
        <w:gridCol w:w="1556"/>
        <w:gridCol w:w="1700"/>
        <w:gridCol w:w="1565"/>
      </w:tblGrid>
      <w:tr w:rsidR="00837289" w:rsidRPr="00D24566" w14:paraId="4DB112E8" w14:textId="77777777" w:rsidTr="00F47088">
        <w:trPr>
          <w:trHeight w:val="463"/>
        </w:trPr>
        <w:tc>
          <w:tcPr>
            <w:tcW w:w="2298" w:type="pct"/>
            <w:vAlign w:val="center"/>
          </w:tcPr>
          <w:p w14:paraId="2890D054" w14:textId="77777777" w:rsidR="00837289" w:rsidRPr="00D24566" w:rsidRDefault="00837289" w:rsidP="003A4C48">
            <w:pPr>
              <w:tabs>
                <w:tab w:val="left" w:pos="1095"/>
              </w:tabs>
              <w:ind w:left="127" w:right="267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shd w:val="clear" w:color="auto" w:fill="EAEAEA"/>
            <w:vAlign w:val="center"/>
          </w:tcPr>
          <w:p w14:paraId="5694F39E" w14:textId="77777777" w:rsidR="00837289" w:rsidRPr="00D24566" w:rsidRDefault="00837289" w:rsidP="00C32304">
            <w:pPr>
              <w:ind w:left="-58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30.06.201</w:t>
            </w:r>
            <w:r w:rsidR="00C3230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3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B52CAB8" w14:textId="77777777" w:rsidR="00837289" w:rsidRPr="00D24566" w:rsidRDefault="00837289" w:rsidP="00216FCB">
            <w:pPr>
              <w:ind w:right="-58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31.12.201</w:t>
            </w:r>
            <w:r w:rsidR="00C3230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2237B1EA" w14:textId="77777777" w:rsidR="00837289" w:rsidRPr="00D24566" w:rsidRDefault="00837289" w:rsidP="00C271FE">
            <w:pPr>
              <w:tabs>
                <w:tab w:val="left" w:pos="1684"/>
              </w:tabs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Veränderung</w:t>
            </w:r>
            <w:r w:rsidRPr="00D24566">
              <w:rPr>
                <w:rFonts w:eastAsia="Calibri" w:cs="Arial"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C32304" w:rsidRPr="00D24566" w14:paraId="10FF2C07" w14:textId="77777777" w:rsidTr="00F47088">
        <w:trPr>
          <w:trHeight w:val="20"/>
        </w:trPr>
        <w:tc>
          <w:tcPr>
            <w:tcW w:w="2298" w:type="pct"/>
            <w:vAlign w:val="center"/>
          </w:tcPr>
          <w:p w14:paraId="1D2F3144" w14:textId="57B00B80" w:rsidR="00C32304" w:rsidRPr="00D24566" w:rsidRDefault="00397ABD" w:rsidP="00FA3453">
            <w:pPr>
              <w:ind w:left="127" w:right="566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Gesamtkapitalquote</w:t>
            </w:r>
            <w:r w:rsidR="00C32304">
              <w:rPr>
                <w:rFonts w:eastAsia="Calibri" w:cs="Arial"/>
                <w:sz w:val="20"/>
                <w:szCs w:val="20"/>
                <w:lang w:eastAsia="en-US"/>
              </w:rPr>
              <w:t>, in Prozent</w:t>
            </w:r>
          </w:p>
        </w:tc>
        <w:tc>
          <w:tcPr>
            <w:tcW w:w="872" w:type="pct"/>
            <w:shd w:val="clear" w:color="auto" w:fill="EAEAEA"/>
            <w:vAlign w:val="center"/>
          </w:tcPr>
          <w:p w14:paraId="3681AF28" w14:textId="77777777" w:rsidR="00C32304" w:rsidRPr="00D24566" w:rsidRDefault="00C32304" w:rsidP="00C32304">
            <w:pPr>
              <w:ind w:left="-58" w:right="35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953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82966E0" w14:textId="4F0AC3FD" w:rsidR="00C32304" w:rsidRPr="00D24566" w:rsidRDefault="00C32304" w:rsidP="004173CB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  <w:r w:rsidR="00397ABD">
              <w:rPr>
                <w:rFonts w:eastAsia="Calibri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77" w:type="pct"/>
            <w:shd w:val="clear" w:color="auto" w:fill="FFFFFF"/>
          </w:tcPr>
          <w:p w14:paraId="575C74F1" w14:textId="77777777" w:rsidR="00C32304" w:rsidRDefault="00C32304" w:rsidP="00C32304">
            <w:pPr>
              <w:ind w:right="273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-1,2%-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en-US"/>
              </w:rPr>
              <w:t>Pkte</w:t>
            </w:r>
            <w:proofErr w:type="spellEnd"/>
          </w:p>
        </w:tc>
      </w:tr>
      <w:tr w:rsidR="00C32304" w:rsidRPr="00D24566" w14:paraId="3C4BC5D0" w14:textId="77777777" w:rsidTr="00F47088">
        <w:trPr>
          <w:trHeight w:val="20"/>
        </w:trPr>
        <w:tc>
          <w:tcPr>
            <w:tcW w:w="2298" w:type="pct"/>
            <w:vAlign w:val="center"/>
          </w:tcPr>
          <w:p w14:paraId="2848C04B" w14:textId="77777777" w:rsidR="00C32304" w:rsidRPr="00D24566" w:rsidRDefault="00C32304" w:rsidP="00C32304">
            <w:pPr>
              <w:ind w:left="127" w:right="566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24566">
              <w:rPr>
                <w:rFonts w:eastAsia="Calibri" w:cs="Arial"/>
                <w:sz w:val="20"/>
                <w:szCs w:val="20"/>
                <w:lang w:eastAsia="en-US"/>
              </w:rPr>
              <w:t>Harte Kernkapitalquote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, in Prozent</w:t>
            </w:r>
          </w:p>
        </w:tc>
        <w:tc>
          <w:tcPr>
            <w:tcW w:w="872" w:type="pct"/>
            <w:shd w:val="clear" w:color="auto" w:fill="EAEAEA"/>
            <w:vAlign w:val="center"/>
          </w:tcPr>
          <w:p w14:paraId="0A05B61F" w14:textId="77777777" w:rsidR="00C32304" w:rsidRPr="00D24566" w:rsidRDefault="00C32304" w:rsidP="00C32304">
            <w:pPr>
              <w:ind w:left="-58" w:right="35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953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8287192" w14:textId="7BBE4C48" w:rsidR="00C32304" w:rsidRPr="00D24566" w:rsidRDefault="00C32304" w:rsidP="00C32304">
            <w:pPr>
              <w:ind w:right="324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19,</w:t>
            </w:r>
            <w:r w:rsidR="00397ABD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7" w:type="pct"/>
            <w:shd w:val="clear" w:color="auto" w:fill="FFFFFF"/>
          </w:tcPr>
          <w:p w14:paraId="6299AB41" w14:textId="77777777" w:rsidR="00C32304" w:rsidRDefault="00C32304" w:rsidP="00C32304">
            <w:pPr>
              <w:ind w:right="273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-0,8%-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en-US"/>
              </w:rPr>
              <w:t>Pkte</w:t>
            </w:r>
            <w:proofErr w:type="spellEnd"/>
          </w:p>
        </w:tc>
      </w:tr>
      <w:tr w:rsidR="00C32304" w:rsidRPr="00D24566" w14:paraId="3A2CA237" w14:textId="77777777" w:rsidTr="00F47088">
        <w:trPr>
          <w:trHeight w:val="20"/>
        </w:trPr>
        <w:tc>
          <w:tcPr>
            <w:tcW w:w="2298" w:type="pct"/>
            <w:vAlign w:val="center"/>
          </w:tcPr>
          <w:p w14:paraId="41F0974D" w14:textId="77777777" w:rsidR="00C32304" w:rsidRPr="00D24566" w:rsidRDefault="00C32304" w:rsidP="00C32304">
            <w:pPr>
              <w:ind w:left="127" w:right="566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Bilanzsumme, in Mrd. Euro</w:t>
            </w:r>
          </w:p>
        </w:tc>
        <w:tc>
          <w:tcPr>
            <w:tcW w:w="872" w:type="pct"/>
            <w:shd w:val="clear" w:color="auto" w:fill="EAEAEA"/>
            <w:vAlign w:val="center"/>
          </w:tcPr>
          <w:p w14:paraId="45E93D8A" w14:textId="77777777" w:rsidR="00C32304" w:rsidRPr="00D24566" w:rsidRDefault="00C32304" w:rsidP="00C32304">
            <w:pPr>
              <w:ind w:left="-58" w:right="35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953" w:type="pct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FEAA56F" w14:textId="38D837D2" w:rsidR="00C32304" w:rsidRPr="009A06F1" w:rsidRDefault="00C32304" w:rsidP="00C32304">
            <w:pPr>
              <w:ind w:left="-58" w:right="35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  <w:r w:rsidR="00F126E3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77" w:type="pct"/>
            <w:shd w:val="clear" w:color="auto" w:fill="FFFFFF"/>
          </w:tcPr>
          <w:p w14:paraId="07D9660C" w14:textId="77777777" w:rsidR="00C32304" w:rsidRPr="009A06F1" w:rsidRDefault="00C32304" w:rsidP="00C32304">
            <w:pPr>
              <w:ind w:left="-58" w:right="273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6,5 %</w:t>
            </w:r>
          </w:p>
        </w:tc>
      </w:tr>
    </w:tbl>
    <w:p w14:paraId="5D57F93C" w14:textId="77777777" w:rsidR="00C271FE" w:rsidRDefault="00C271FE" w:rsidP="00C271FE">
      <w:pPr>
        <w:autoSpaceDE w:val="0"/>
        <w:autoSpaceDN w:val="0"/>
        <w:adjustRightInd w:val="0"/>
        <w:spacing w:line="141" w:lineRule="atLeast"/>
        <w:ind w:left="502" w:right="1133"/>
        <w:rPr>
          <w:rFonts w:cs="Arial"/>
          <w:color w:val="808080"/>
          <w:sz w:val="16"/>
          <w:szCs w:val="16"/>
        </w:rPr>
      </w:pPr>
    </w:p>
    <w:p w14:paraId="13016A29" w14:textId="77777777" w:rsidR="00E32880" w:rsidRPr="00454C95" w:rsidRDefault="00E32880" w:rsidP="00E32880">
      <w:pPr>
        <w:numPr>
          <w:ilvl w:val="0"/>
          <w:numId w:val="24"/>
        </w:numPr>
        <w:autoSpaceDE w:val="0"/>
        <w:autoSpaceDN w:val="0"/>
        <w:adjustRightInd w:val="0"/>
        <w:spacing w:line="141" w:lineRule="atLeast"/>
        <w:ind w:right="1133"/>
        <w:rPr>
          <w:rFonts w:cs="Arial"/>
          <w:color w:val="808080"/>
          <w:sz w:val="16"/>
          <w:szCs w:val="16"/>
        </w:rPr>
      </w:pPr>
      <w:r w:rsidRPr="00454C95">
        <w:rPr>
          <w:rFonts w:cs="Arial"/>
          <w:color w:val="808080"/>
          <w:sz w:val="16"/>
          <w:szCs w:val="16"/>
        </w:rPr>
        <w:t>Abweichungen aufgrund von Rundungsdifferenzen</w:t>
      </w:r>
    </w:p>
    <w:p w14:paraId="385267EF" w14:textId="77777777" w:rsidR="00637E09" w:rsidRDefault="00637E09" w:rsidP="00454C95"/>
    <w:p w14:paraId="4C6A08C6" w14:textId="77777777" w:rsidR="001C08B0" w:rsidRDefault="001C08B0" w:rsidP="00454C95"/>
    <w:p w14:paraId="1ADF82AD" w14:textId="77777777" w:rsidR="0039422F" w:rsidRDefault="0039422F" w:rsidP="00454C95"/>
    <w:p w14:paraId="0BA4EC29" w14:textId="77777777" w:rsidR="00E63C70" w:rsidRDefault="00FF5219" w:rsidP="00F47088">
      <w:pPr>
        <w:ind w:right="991"/>
      </w:pPr>
      <w:r>
        <w:t xml:space="preserve">Den </w:t>
      </w:r>
      <w:r w:rsidR="007E069F">
        <w:t xml:space="preserve">Halbjahresfinanzbericht sowie den </w:t>
      </w:r>
      <w:r>
        <w:t>Of</w:t>
      </w:r>
      <w:r w:rsidR="0048546C">
        <w:t>fenlegungsbericht per 30.06.201</w:t>
      </w:r>
      <w:r w:rsidR="00C32304">
        <w:t>8</w:t>
      </w:r>
      <w:r>
        <w:t xml:space="preserve"> finden Sie </w:t>
      </w:r>
      <w:r w:rsidR="007E069F">
        <w:t xml:space="preserve">unter </w:t>
      </w:r>
      <w:hyperlink r:id="rId8" w:history="1">
        <w:r w:rsidRPr="00DE0BC1">
          <w:rPr>
            <w:rStyle w:val="Hyperlink"/>
          </w:rPr>
          <w:t>www.apobank.de/finanzberichte</w:t>
        </w:r>
      </w:hyperlink>
    </w:p>
    <w:p w14:paraId="5104950B" w14:textId="77777777" w:rsidR="001C08B0" w:rsidRPr="00454C95" w:rsidRDefault="001C08B0" w:rsidP="00F47088">
      <w:pPr>
        <w:ind w:right="991"/>
      </w:pPr>
    </w:p>
    <w:bookmarkEnd w:id="0"/>
    <w:bookmarkEnd w:id="1"/>
    <w:p w14:paraId="37D6B105" w14:textId="77777777" w:rsidR="0039422F" w:rsidRDefault="0039422F" w:rsidP="00F47088">
      <w:pPr>
        <w:ind w:right="991"/>
        <w:rPr>
          <w:rFonts w:cs="Arial"/>
          <w:b/>
          <w:spacing w:val="1"/>
        </w:rPr>
      </w:pPr>
    </w:p>
    <w:p w14:paraId="4251E77B" w14:textId="77777777" w:rsidR="0039422F" w:rsidRDefault="0039422F" w:rsidP="00F47088">
      <w:pPr>
        <w:ind w:right="991"/>
        <w:rPr>
          <w:rFonts w:cs="Arial"/>
          <w:b/>
          <w:spacing w:val="1"/>
        </w:rPr>
      </w:pPr>
    </w:p>
    <w:p w14:paraId="5B2A2B47" w14:textId="77777777" w:rsidR="00980CC0" w:rsidRPr="00C93F25" w:rsidRDefault="00980CC0" w:rsidP="00F47088">
      <w:pPr>
        <w:ind w:right="991"/>
        <w:rPr>
          <w:rFonts w:cs="Arial"/>
          <w:b/>
          <w:spacing w:val="1"/>
        </w:rPr>
      </w:pPr>
      <w:r w:rsidRPr="00C93F25">
        <w:rPr>
          <w:rFonts w:cs="Arial"/>
          <w:b/>
          <w:spacing w:val="1"/>
        </w:rPr>
        <w:t>Pressekontakt:</w:t>
      </w:r>
    </w:p>
    <w:p w14:paraId="7BCB3B93" w14:textId="77777777" w:rsidR="00980CC0" w:rsidRDefault="00980CC0" w:rsidP="00F47088">
      <w:pPr>
        <w:ind w:right="991"/>
        <w:rPr>
          <w:rFonts w:cs="Arial"/>
          <w:spacing w:val="1"/>
        </w:rPr>
      </w:pPr>
      <w:r w:rsidRPr="00BC437F">
        <w:rPr>
          <w:rFonts w:cs="Arial"/>
          <w:spacing w:val="1"/>
        </w:rPr>
        <w:t xml:space="preserve">Cassie </w:t>
      </w:r>
      <w:proofErr w:type="spellStart"/>
      <w:r w:rsidRPr="00BC437F">
        <w:rPr>
          <w:rFonts w:cs="Arial"/>
          <w:spacing w:val="1"/>
        </w:rPr>
        <w:t>Kübitz-Whiteley</w:t>
      </w:r>
      <w:proofErr w:type="spellEnd"/>
      <w:r>
        <w:rPr>
          <w:rFonts w:cs="Arial"/>
          <w:spacing w:val="1"/>
        </w:rPr>
        <w:tab/>
      </w:r>
      <w:r>
        <w:rPr>
          <w:rFonts w:cs="Arial"/>
          <w:spacing w:val="1"/>
        </w:rPr>
        <w:tab/>
      </w:r>
      <w:r>
        <w:rPr>
          <w:rFonts w:cs="Arial"/>
          <w:spacing w:val="1"/>
        </w:rPr>
        <w:tab/>
      </w:r>
      <w:r w:rsidR="00906CDE">
        <w:rPr>
          <w:rFonts w:cs="Arial"/>
          <w:spacing w:val="1"/>
        </w:rPr>
        <w:tab/>
      </w:r>
      <w:r w:rsidR="00906CDE">
        <w:rPr>
          <w:rFonts w:cs="Arial"/>
          <w:spacing w:val="1"/>
        </w:rPr>
        <w:tab/>
      </w:r>
      <w:r w:rsidR="000223B3">
        <w:rPr>
          <w:rFonts w:cs="Arial"/>
          <w:spacing w:val="1"/>
        </w:rPr>
        <w:tab/>
      </w:r>
      <w:r>
        <w:rPr>
          <w:rFonts w:cs="Arial"/>
          <w:spacing w:val="1"/>
        </w:rPr>
        <w:t>Ines Semisch</w:t>
      </w:r>
    </w:p>
    <w:p w14:paraId="3EB96F1D" w14:textId="77777777" w:rsidR="00980CC0" w:rsidRPr="00BC437F" w:rsidRDefault="00980CC0" w:rsidP="00F47088">
      <w:pPr>
        <w:ind w:right="991"/>
        <w:rPr>
          <w:rFonts w:cs="Arial"/>
          <w:spacing w:val="1"/>
        </w:rPr>
      </w:pPr>
      <w:r>
        <w:rPr>
          <w:rFonts w:cs="Arial"/>
          <w:spacing w:val="1"/>
        </w:rPr>
        <w:t xml:space="preserve">Telefon: +49 211/5998 </w:t>
      </w:r>
      <w:r w:rsidRPr="00BC437F">
        <w:rPr>
          <w:rFonts w:cs="Arial"/>
          <w:spacing w:val="1"/>
        </w:rPr>
        <w:t>9809</w:t>
      </w:r>
      <w:r>
        <w:rPr>
          <w:rFonts w:cs="Arial"/>
          <w:spacing w:val="1"/>
        </w:rPr>
        <w:tab/>
      </w:r>
      <w:r>
        <w:rPr>
          <w:rFonts w:cs="Arial"/>
          <w:spacing w:val="1"/>
        </w:rPr>
        <w:tab/>
      </w:r>
      <w:r w:rsidR="00906CDE">
        <w:rPr>
          <w:rFonts w:cs="Arial"/>
          <w:spacing w:val="1"/>
        </w:rPr>
        <w:tab/>
      </w:r>
      <w:r w:rsidR="00906CDE">
        <w:rPr>
          <w:rFonts w:cs="Arial"/>
          <w:spacing w:val="1"/>
        </w:rPr>
        <w:tab/>
      </w:r>
      <w:r w:rsidR="000223B3">
        <w:rPr>
          <w:rFonts w:cs="Arial"/>
          <w:spacing w:val="1"/>
        </w:rPr>
        <w:tab/>
      </w:r>
      <w:r>
        <w:rPr>
          <w:rFonts w:cs="Arial"/>
          <w:spacing w:val="1"/>
        </w:rPr>
        <w:t>Telefon: +49 211/5998 5308</w:t>
      </w:r>
    </w:p>
    <w:p w14:paraId="6AE876FC" w14:textId="77777777" w:rsidR="00980CC0" w:rsidRDefault="00E5062E" w:rsidP="00F47088">
      <w:pPr>
        <w:ind w:right="991"/>
        <w:rPr>
          <w:rFonts w:cs="Arial"/>
          <w:b/>
          <w:sz w:val="28"/>
          <w:szCs w:val="28"/>
        </w:rPr>
      </w:pPr>
      <w:hyperlink r:id="rId9" w:history="1">
        <w:r w:rsidR="00980CC0" w:rsidRPr="00BC437F">
          <w:rPr>
            <w:rStyle w:val="Hyperlink"/>
            <w:rFonts w:cs="Arial"/>
            <w:spacing w:val="1"/>
          </w:rPr>
          <w:t>cassie.kuebitz-whiteley@apobank.de</w:t>
        </w:r>
      </w:hyperlink>
      <w:r w:rsidR="00980CC0">
        <w:tab/>
      </w:r>
      <w:r w:rsidR="00980CC0">
        <w:tab/>
      </w:r>
      <w:r w:rsidR="000223B3">
        <w:tab/>
      </w:r>
      <w:hyperlink r:id="rId10" w:history="1">
        <w:r w:rsidR="00980CC0" w:rsidRPr="003219AA">
          <w:rPr>
            <w:rStyle w:val="Hyperlink"/>
            <w:rFonts w:cs="Arial"/>
            <w:spacing w:val="1"/>
          </w:rPr>
          <w:t>ines.semisch@apobank.de</w:t>
        </w:r>
      </w:hyperlink>
      <w:r w:rsidR="00980CC0">
        <w:rPr>
          <w:rFonts w:cs="Arial"/>
          <w:spacing w:val="1"/>
        </w:rPr>
        <w:t xml:space="preserve"> </w:t>
      </w:r>
    </w:p>
    <w:p w14:paraId="73299E60" w14:textId="77777777" w:rsidR="00980CC0" w:rsidRDefault="00980CC0" w:rsidP="00F47088">
      <w:pPr>
        <w:spacing w:afterLines="60" w:after="144" w:line="24" w:lineRule="atLeast"/>
        <w:ind w:right="991"/>
      </w:pPr>
    </w:p>
    <w:p w14:paraId="1EADBA65" w14:textId="77777777" w:rsidR="0039422F" w:rsidRDefault="0039422F" w:rsidP="00F47088">
      <w:pPr>
        <w:spacing w:afterLines="60" w:after="144" w:line="24" w:lineRule="atLeast"/>
        <w:ind w:right="991"/>
      </w:pPr>
    </w:p>
    <w:sectPr w:rsidR="0039422F" w:rsidSect="003516C6">
      <w:headerReference w:type="default" r:id="rId11"/>
      <w:headerReference w:type="first" r:id="rId12"/>
      <w:footerReference w:type="first" r:id="rId13"/>
      <w:pgSz w:w="11907" w:h="16840" w:code="9"/>
      <w:pgMar w:top="2058" w:right="284" w:bottom="567" w:left="1701" w:header="567" w:footer="1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D68D" w14:textId="77777777" w:rsidR="00E96981" w:rsidRDefault="00E96981">
      <w:r>
        <w:separator/>
      </w:r>
    </w:p>
  </w:endnote>
  <w:endnote w:type="continuationSeparator" w:id="0">
    <w:p w14:paraId="38346750" w14:textId="77777777" w:rsidR="00E96981" w:rsidRDefault="00E9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 S Light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B489" w14:textId="77777777" w:rsidR="00EC43AD" w:rsidRDefault="00EC43AD"/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00" w:firstRow="0" w:lastRow="0" w:firstColumn="0" w:lastColumn="0" w:noHBand="0" w:noVBand="1"/>
    </w:tblPr>
    <w:tblGrid>
      <w:gridCol w:w="1980"/>
      <w:gridCol w:w="7932"/>
    </w:tblGrid>
    <w:tr w:rsidR="003516C6" w14:paraId="40E13484" w14:textId="77777777" w:rsidTr="003516C6">
      <w:tc>
        <w:tcPr>
          <w:tcW w:w="1980" w:type="dxa"/>
        </w:tcPr>
        <w:p w14:paraId="6CAEF410" w14:textId="77777777" w:rsidR="003516C6" w:rsidRPr="003516C6" w:rsidRDefault="003516C6">
          <w:pPr>
            <w:rPr>
              <w:b/>
              <w:sz w:val="12"/>
              <w:szCs w:val="12"/>
            </w:rPr>
          </w:pPr>
          <w:r w:rsidRPr="003516C6">
            <w:rPr>
              <w:b/>
              <w:sz w:val="12"/>
              <w:szCs w:val="12"/>
            </w:rPr>
            <w:t>Vorsitzender des Aufsichtsrats</w:t>
          </w:r>
        </w:p>
      </w:tc>
      <w:tc>
        <w:tcPr>
          <w:tcW w:w="7932" w:type="dxa"/>
        </w:tcPr>
        <w:p w14:paraId="0ED5F33D" w14:textId="77777777" w:rsidR="003516C6" w:rsidRPr="003516C6" w:rsidRDefault="003516C6">
          <w:pPr>
            <w:rPr>
              <w:sz w:val="12"/>
              <w:szCs w:val="12"/>
            </w:rPr>
          </w:pPr>
          <w:r w:rsidRPr="003516C6">
            <w:rPr>
              <w:sz w:val="12"/>
              <w:szCs w:val="12"/>
            </w:rPr>
            <w:t xml:space="preserve">Prof. Dr. </w:t>
          </w:r>
          <w:r w:rsidR="000161E9">
            <w:rPr>
              <w:sz w:val="12"/>
              <w:szCs w:val="12"/>
            </w:rPr>
            <w:t xml:space="preserve">med. </w:t>
          </w:r>
          <w:r w:rsidRPr="003516C6">
            <w:rPr>
              <w:sz w:val="12"/>
              <w:szCs w:val="12"/>
            </w:rPr>
            <w:t>Frank Ulrich Montgomery</w:t>
          </w:r>
        </w:p>
      </w:tc>
    </w:tr>
    <w:tr w:rsidR="003516C6" w14:paraId="28C78E85" w14:textId="77777777" w:rsidTr="003516C6">
      <w:tc>
        <w:tcPr>
          <w:tcW w:w="1980" w:type="dxa"/>
        </w:tcPr>
        <w:p w14:paraId="1AA87F20" w14:textId="77777777" w:rsidR="003516C6" w:rsidRPr="003516C6" w:rsidRDefault="003516C6">
          <w:pPr>
            <w:rPr>
              <w:b/>
              <w:sz w:val="12"/>
              <w:szCs w:val="12"/>
            </w:rPr>
          </w:pPr>
          <w:r w:rsidRPr="003516C6">
            <w:rPr>
              <w:b/>
              <w:sz w:val="12"/>
              <w:szCs w:val="12"/>
            </w:rPr>
            <w:t>Vorstand</w:t>
          </w:r>
        </w:p>
      </w:tc>
      <w:tc>
        <w:tcPr>
          <w:tcW w:w="7932" w:type="dxa"/>
        </w:tcPr>
        <w:p w14:paraId="21E6A7FE" w14:textId="4E10AFEE" w:rsidR="003516C6" w:rsidRPr="003516C6" w:rsidRDefault="00B002F4" w:rsidP="003516C6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Ulrich Sommer (Vorsitzender des Vorstands), Dr. Thomas </w:t>
          </w:r>
          <w:proofErr w:type="spellStart"/>
          <w:r>
            <w:rPr>
              <w:sz w:val="12"/>
              <w:szCs w:val="12"/>
            </w:rPr>
            <w:t>Siekmann</w:t>
          </w:r>
          <w:proofErr w:type="spellEnd"/>
          <w:r>
            <w:rPr>
              <w:sz w:val="12"/>
              <w:szCs w:val="12"/>
            </w:rPr>
            <w:t xml:space="preserve"> </w:t>
          </w:r>
          <w:r w:rsidR="003516C6" w:rsidRPr="003516C6">
            <w:rPr>
              <w:sz w:val="12"/>
              <w:szCs w:val="12"/>
            </w:rPr>
            <w:t>(</w:t>
          </w:r>
          <w:proofErr w:type="spellStart"/>
          <w:r w:rsidR="003516C6" w:rsidRPr="003516C6">
            <w:rPr>
              <w:sz w:val="12"/>
              <w:szCs w:val="12"/>
            </w:rPr>
            <w:t>stv</w:t>
          </w:r>
          <w:proofErr w:type="spellEnd"/>
          <w:r w:rsidR="003516C6" w:rsidRPr="003516C6">
            <w:rPr>
              <w:sz w:val="12"/>
              <w:szCs w:val="12"/>
            </w:rPr>
            <w:t xml:space="preserve">. Vorsitzender des Vorstands), Olaf Klose, Eckhard </w:t>
          </w:r>
          <w:proofErr w:type="spellStart"/>
          <w:r w:rsidR="003516C6" w:rsidRPr="003516C6">
            <w:rPr>
              <w:sz w:val="12"/>
              <w:szCs w:val="12"/>
            </w:rPr>
            <w:t>Lüdering</w:t>
          </w:r>
          <w:proofErr w:type="spellEnd"/>
          <w:r w:rsidR="003516C6" w:rsidRPr="003516C6">
            <w:rPr>
              <w:sz w:val="12"/>
              <w:szCs w:val="12"/>
            </w:rPr>
            <w:t xml:space="preserve">, Holger </w:t>
          </w:r>
          <w:proofErr w:type="spellStart"/>
          <w:r w:rsidR="003516C6" w:rsidRPr="003516C6">
            <w:rPr>
              <w:sz w:val="12"/>
              <w:szCs w:val="12"/>
            </w:rPr>
            <w:t>Wessling</w:t>
          </w:r>
          <w:proofErr w:type="spellEnd"/>
        </w:p>
      </w:tc>
    </w:tr>
    <w:tr w:rsidR="003516C6" w14:paraId="2F3D3B53" w14:textId="77777777" w:rsidTr="003516C6">
      <w:tc>
        <w:tcPr>
          <w:tcW w:w="1980" w:type="dxa"/>
        </w:tcPr>
        <w:p w14:paraId="0AB35697" w14:textId="77777777" w:rsidR="003516C6" w:rsidRPr="003516C6" w:rsidRDefault="003516C6">
          <w:pPr>
            <w:rPr>
              <w:b/>
              <w:sz w:val="12"/>
              <w:szCs w:val="12"/>
            </w:rPr>
          </w:pPr>
          <w:r w:rsidRPr="003516C6">
            <w:rPr>
              <w:b/>
              <w:sz w:val="12"/>
              <w:szCs w:val="12"/>
            </w:rPr>
            <w:t>Zentrale</w:t>
          </w:r>
        </w:p>
      </w:tc>
      <w:tc>
        <w:tcPr>
          <w:tcW w:w="7932" w:type="dxa"/>
        </w:tcPr>
        <w:p w14:paraId="1D0DA344" w14:textId="77777777" w:rsidR="003516C6" w:rsidRPr="003516C6" w:rsidRDefault="003516C6">
          <w:pPr>
            <w:rPr>
              <w:sz w:val="12"/>
              <w:szCs w:val="12"/>
            </w:rPr>
          </w:pPr>
          <w:r w:rsidRPr="003516C6">
            <w:rPr>
              <w:sz w:val="12"/>
              <w:szCs w:val="12"/>
            </w:rPr>
            <w:t>Richard-Oskar-Mattern-Straße 6 | 40547 Düsseldorf | Telefon +49 211 5998 0</w:t>
          </w:r>
        </w:p>
      </w:tc>
    </w:tr>
    <w:tr w:rsidR="003516C6" w14:paraId="15671A7D" w14:textId="77777777" w:rsidTr="003516C6">
      <w:tc>
        <w:tcPr>
          <w:tcW w:w="1980" w:type="dxa"/>
        </w:tcPr>
        <w:p w14:paraId="5B19ADE7" w14:textId="77777777" w:rsidR="003516C6" w:rsidRPr="003516C6" w:rsidRDefault="003516C6">
          <w:pPr>
            <w:rPr>
              <w:b/>
              <w:sz w:val="12"/>
              <w:szCs w:val="12"/>
            </w:rPr>
          </w:pPr>
          <w:r w:rsidRPr="003516C6">
            <w:rPr>
              <w:b/>
              <w:sz w:val="12"/>
              <w:szCs w:val="12"/>
            </w:rPr>
            <w:t>Herausgeber</w:t>
          </w:r>
        </w:p>
      </w:tc>
      <w:tc>
        <w:tcPr>
          <w:tcW w:w="7932" w:type="dxa"/>
        </w:tcPr>
        <w:p w14:paraId="03314D17" w14:textId="77777777" w:rsidR="003516C6" w:rsidRPr="003516C6" w:rsidRDefault="003516C6">
          <w:pPr>
            <w:rPr>
              <w:sz w:val="12"/>
              <w:szCs w:val="12"/>
            </w:rPr>
          </w:pPr>
          <w:r w:rsidRPr="003516C6">
            <w:rPr>
              <w:sz w:val="12"/>
              <w:szCs w:val="12"/>
            </w:rPr>
            <w:t>Unternehmenskommunikation | Telefon +49 211 5998 584 | Telefax +49 211 5998 561 | presse@apobank.de</w:t>
          </w:r>
        </w:p>
      </w:tc>
    </w:tr>
  </w:tbl>
  <w:p w14:paraId="2F6FEA8E" w14:textId="77777777" w:rsidR="00620B80" w:rsidRPr="00A673DB" w:rsidRDefault="00620B80" w:rsidP="00871963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EFE9" w14:textId="77777777" w:rsidR="00E96981" w:rsidRDefault="00E96981">
      <w:r>
        <w:separator/>
      </w:r>
    </w:p>
  </w:footnote>
  <w:footnote w:type="continuationSeparator" w:id="0">
    <w:p w14:paraId="52130FD5" w14:textId="77777777" w:rsidR="00E96981" w:rsidRDefault="00E9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E106" w14:textId="77777777" w:rsidR="00620B80" w:rsidRDefault="00620B80" w:rsidP="00DD616D">
    <w:pPr>
      <w:rPr>
        <w:color w:val="8C91A0"/>
        <w:sz w:val="20"/>
      </w:rPr>
    </w:pPr>
  </w:p>
  <w:p w14:paraId="2B5F7B86" w14:textId="77777777" w:rsidR="00620B80" w:rsidRPr="00D3738A" w:rsidRDefault="00620B80" w:rsidP="00DD616D">
    <w:pPr>
      <w:rPr>
        <w:color w:val="8C91A0"/>
        <w:sz w:val="20"/>
      </w:rPr>
    </w:pPr>
  </w:p>
  <w:p w14:paraId="09127D14" w14:textId="77777777" w:rsidR="00620B80" w:rsidRDefault="00620B80" w:rsidP="00DD616D">
    <w:pPr>
      <w:rPr>
        <w:color w:val="8C91A0"/>
        <w:sz w:val="20"/>
      </w:rPr>
    </w:pPr>
  </w:p>
  <w:p w14:paraId="255520FD" w14:textId="77777777" w:rsidR="00620B80" w:rsidRDefault="00620B80" w:rsidP="00BF4073">
    <w:pPr>
      <w:ind w:right="991"/>
      <w:jc w:val="right"/>
      <w:rPr>
        <w:sz w:val="18"/>
        <w:szCs w:val="18"/>
      </w:rPr>
    </w:pP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FC006E">
      <w:rPr>
        <w:noProof/>
        <w:sz w:val="18"/>
        <w:szCs w:val="18"/>
      </w:rPr>
      <w:drawing>
        <wp:inline distT="0" distB="0" distL="0" distR="0" wp14:anchorId="120C5EB4" wp14:editId="7F99D1D0">
          <wp:extent cx="1866900" cy="447675"/>
          <wp:effectExtent l="0" t="0" r="0" b="9525"/>
          <wp:docPr id="11" name="Bild 1" descr="apo_3CPM_h12_farbe_briefbogen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po_3CPM_h12_farbe_briefbogen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F50A4" w14:textId="77777777" w:rsidR="00620B80" w:rsidRDefault="00620B80" w:rsidP="00DD616D">
    <w:pPr>
      <w:ind w:right="-1"/>
      <w:rPr>
        <w:sz w:val="18"/>
        <w:szCs w:val="18"/>
      </w:rPr>
    </w:pPr>
  </w:p>
  <w:p w14:paraId="0B258F67" w14:textId="77777777" w:rsidR="00620B80" w:rsidRPr="00834D66" w:rsidRDefault="0048546C" w:rsidP="000670AB">
    <w:pPr>
      <w:ind w:right="-1"/>
      <w:rPr>
        <w:color w:val="595959"/>
      </w:rPr>
    </w:pPr>
    <w:r>
      <w:rPr>
        <w:color w:val="595959"/>
      </w:rPr>
      <w:t>30</w:t>
    </w:r>
    <w:r w:rsidR="00620B80" w:rsidRPr="00BF2A88">
      <w:rPr>
        <w:color w:val="595959"/>
      </w:rPr>
      <w:t xml:space="preserve">. </w:t>
    </w:r>
    <w:r w:rsidR="00620B80">
      <w:rPr>
        <w:color w:val="595959"/>
      </w:rPr>
      <w:t xml:space="preserve">August </w:t>
    </w:r>
    <w:r w:rsidR="00620B80" w:rsidRPr="00BF2A88">
      <w:rPr>
        <w:color w:val="595959"/>
      </w:rPr>
      <w:t>201</w:t>
    </w:r>
    <w:r w:rsidR="00C32304">
      <w:rPr>
        <w:color w:val="595959"/>
      </w:rPr>
      <w:t>8</w:t>
    </w:r>
  </w:p>
  <w:p w14:paraId="3AFB2481" w14:textId="77777777" w:rsidR="00620B80" w:rsidRPr="00EE7EE5" w:rsidRDefault="00620B80" w:rsidP="00EE7EE5">
    <w:pPr>
      <w:ind w:right="-1"/>
      <w:rPr>
        <w:color w:val="595959"/>
      </w:rPr>
    </w:pPr>
    <w:r w:rsidRPr="00EE7EE5">
      <w:rPr>
        <w:color w:val="595959"/>
      </w:rPr>
      <w:t xml:space="preserve">Seite </w:t>
    </w:r>
    <w:r w:rsidR="006F59D0" w:rsidRPr="00EE7EE5">
      <w:rPr>
        <w:color w:val="595959"/>
      </w:rPr>
      <w:fldChar w:fldCharType="begin"/>
    </w:r>
    <w:r w:rsidRPr="00EE7EE5">
      <w:rPr>
        <w:color w:val="595959"/>
      </w:rPr>
      <w:instrText xml:space="preserve"> PAGE </w:instrText>
    </w:r>
    <w:r w:rsidR="006F59D0" w:rsidRPr="00EE7EE5">
      <w:rPr>
        <w:color w:val="595959"/>
      </w:rPr>
      <w:fldChar w:fldCharType="separate"/>
    </w:r>
    <w:r w:rsidR="00E5062E">
      <w:rPr>
        <w:noProof/>
        <w:color w:val="595959"/>
      </w:rPr>
      <w:t>2</w:t>
    </w:r>
    <w:r w:rsidR="006F59D0" w:rsidRPr="00EE7EE5">
      <w:rPr>
        <w:color w:val="595959"/>
      </w:rPr>
      <w:fldChar w:fldCharType="end"/>
    </w:r>
    <w:r w:rsidRPr="00EE7EE5">
      <w:rPr>
        <w:color w:val="595959"/>
      </w:rPr>
      <w:t xml:space="preserve"> von </w:t>
    </w:r>
    <w:r w:rsidR="006F59D0" w:rsidRPr="00EE7EE5">
      <w:rPr>
        <w:color w:val="595959"/>
      </w:rPr>
      <w:fldChar w:fldCharType="begin"/>
    </w:r>
    <w:r w:rsidRPr="00EE7EE5">
      <w:rPr>
        <w:color w:val="595959"/>
      </w:rPr>
      <w:instrText xml:space="preserve"> NUMPAGES </w:instrText>
    </w:r>
    <w:r w:rsidR="006F59D0" w:rsidRPr="00EE7EE5">
      <w:rPr>
        <w:color w:val="595959"/>
      </w:rPr>
      <w:fldChar w:fldCharType="separate"/>
    </w:r>
    <w:r w:rsidR="00E5062E">
      <w:rPr>
        <w:noProof/>
        <w:color w:val="595959"/>
      </w:rPr>
      <w:t>3</w:t>
    </w:r>
    <w:r w:rsidR="006F59D0" w:rsidRPr="00EE7EE5">
      <w:rPr>
        <w:color w:val="595959"/>
      </w:rPr>
      <w:fldChar w:fldCharType="end"/>
    </w:r>
  </w:p>
  <w:p w14:paraId="4FB44AA5" w14:textId="77777777" w:rsidR="00620B80" w:rsidRPr="00D230BD" w:rsidRDefault="00620B80" w:rsidP="00DD616D">
    <w:pPr>
      <w:ind w:right="-1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A89C" w14:textId="77777777" w:rsidR="00620B80" w:rsidRDefault="00620B80" w:rsidP="00281CBA">
    <w:pPr>
      <w:rPr>
        <w:color w:val="8C91A0"/>
        <w:sz w:val="20"/>
      </w:rPr>
    </w:pPr>
  </w:p>
  <w:p w14:paraId="00C45E9D" w14:textId="77777777" w:rsidR="00620B80" w:rsidRPr="00D3738A" w:rsidRDefault="00620B80" w:rsidP="00281CBA">
    <w:pPr>
      <w:rPr>
        <w:color w:val="8C91A0"/>
        <w:sz w:val="20"/>
      </w:rPr>
    </w:pPr>
  </w:p>
  <w:p w14:paraId="086E5CEB" w14:textId="77777777" w:rsidR="00620B80" w:rsidRDefault="00620B80" w:rsidP="00281CBA">
    <w:pPr>
      <w:rPr>
        <w:color w:val="8C91A0"/>
        <w:sz w:val="20"/>
      </w:rPr>
    </w:pPr>
  </w:p>
  <w:p w14:paraId="0CEF5979" w14:textId="77777777" w:rsidR="00620B80" w:rsidRPr="002B0526" w:rsidRDefault="00620B80" w:rsidP="00BF4073">
    <w:pPr>
      <w:ind w:right="991"/>
      <w:rPr>
        <w:color w:val="595959"/>
        <w:sz w:val="18"/>
        <w:szCs w:val="18"/>
      </w:rPr>
    </w:pPr>
    <w:r w:rsidRPr="002B0526">
      <w:rPr>
        <w:color w:val="595959"/>
        <w:sz w:val="24"/>
        <w:szCs w:val="24"/>
      </w:rPr>
      <w:t xml:space="preserve">Pressemitteilung </w:t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="00362A22">
      <w:rPr>
        <w:color w:val="595959"/>
      </w:rPr>
      <w:t xml:space="preserve">    </w:t>
    </w:r>
    <w:r w:rsidRPr="002B0526">
      <w:rPr>
        <w:color w:val="595959"/>
      </w:rPr>
      <w:t xml:space="preserve">  </w:t>
    </w:r>
    <w:r w:rsidR="00FC006E">
      <w:rPr>
        <w:noProof/>
        <w:color w:val="595959"/>
        <w:sz w:val="18"/>
        <w:szCs w:val="18"/>
      </w:rPr>
      <w:drawing>
        <wp:inline distT="0" distB="0" distL="0" distR="0" wp14:anchorId="4B132221" wp14:editId="381138B6">
          <wp:extent cx="1866900" cy="447675"/>
          <wp:effectExtent l="0" t="0" r="0" b="9525"/>
          <wp:docPr id="12" name="Bild 2" descr="apo_3CPM_h12_farbe_briefbogen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po_3CPM_h12_farbe_briefbogen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3B7A" w14:textId="77777777" w:rsidR="00620B80" w:rsidRPr="002B0526" w:rsidRDefault="00620B80" w:rsidP="00281CBA">
    <w:pPr>
      <w:ind w:right="-1"/>
      <w:rPr>
        <w:color w:val="595959"/>
        <w:sz w:val="18"/>
        <w:szCs w:val="18"/>
      </w:rPr>
    </w:pPr>
  </w:p>
  <w:p w14:paraId="4F1EA893" w14:textId="77777777" w:rsidR="00620B80" w:rsidRPr="002B0526" w:rsidRDefault="00620B80" w:rsidP="00281CBA">
    <w:pPr>
      <w:ind w:right="-1"/>
      <w:rPr>
        <w:color w:val="595959"/>
        <w:sz w:val="18"/>
        <w:szCs w:val="18"/>
      </w:rPr>
    </w:pPr>
  </w:p>
  <w:p w14:paraId="6635EB1D" w14:textId="77777777" w:rsidR="00620B80" w:rsidRPr="00834D66" w:rsidRDefault="0048546C" w:rsidP="002B0526">
    <w:pPr>
      <w:ind w:right="-1"/>
      <w:rPr>
        <w:color w:val="595959"/>
      </w:rPr>
    </w:pPr>
    <w:r>
      <w:rPr>
        <w:color w:val="595959"/>
      </w:rPr>
      <w:t>30</w:t>
    </w:r>
    <w:r w:rsidR="00620B80" w:rsidRPr="00BF2A88">
      <w:rPr>
        <w:color w:val="595959"/>
      </w:rPr>
      <w:t xml:space="preserve">. </w:t>
    </w:r>
    <w:r w:rsidR="00620B80">
      <w:rPr>
        <w:color w:val="595959"/>
      </w:rPr>
      <w:t xml:space="preserve">August </w:t>
    </w:r>
    <w:r w:rsidR="00620B80" w:rsidRPr="00BF2A88">
      <w:rPr>
        <w:color w:val="595959"/>
      </w:rPr>
      <w:t>201</w:t>
    </w:r>
    <w:r w:rsidR="00C32304">
      <w:rPr>
        <w:color w:val="595959"/>
      </w:rPr>
      <w:t>8</w:t>
    </w:r>
  </w:p>
  <w:p w14:paraId="3D899DF6" w14:textId="77777777" w:rsidR="00620B80" w:rsidRDefault="00620B80">
    <w:r w:rsidRPr="00295D03">
      <w:rPr>
        <w:color w:val="595959"/>
      </w:rPr>
      <w:t xml:space="preserve">Seite </w:t>
    </w:r>
    <w:r w:rsidR="006F59D0" w:rsidRPr="00295D03">
      <w:rPr>
        <w:color w:val="595959"/>
      </w:rPr>
      <w:fldChar w:fldCharType="begin"/>
    </w:r>
    <w:r w:rsidRPr="00295D03">
      <w:rPr>
        <w:color w:val="595959"/>
      </w:rPr>
      <w:instrText xml:space="preserve"> PAGE </w:instrText>
    </w:r>
    <w:r w:rsidR="006F59D0" w:rsidRPr="00295D03">
      <w:rPr>
        <w:color w:val="595959"/>
      </w:rPr>
      <w:fldChar w:fldCharType="separate"/>
    </w:r>
    <w:r w:rsidR="00E5062E">
      <w:rPr>
        <w:noProof/>
        <w:color w:val="595959"/>
      </w:rPr>
      <w:t>1</w:t>
    </w:r>
    <w:r w:rsidR="006F59D0" w:rsidRPr="00295D03">
      <w:rPr>
        <w:color w:val="595959"/>
      </w:rPr>
      <w:fldChar w:fldCharType="end"/>
    </w:r>
    <w:r w:rsidRPr="00295D03">
      <w:rPr>
        <w:color w:val="595959"/>
      </w:rPr>
      <w:t xml:space="preserve"> von </w:t>
    </w:r>
    <w:r w:rsidR="006F59D0" w:rsidRPr="00295D03">
      <w:rPr>
        <w:color w:val="595959"/>
      </w:rPr>
      <w:fldChar w:fldCharType="begin"/>
    </w:r>
    <w:r w:rsidRPr="00295D03">
      <w:rPr>
        <w:color w:val="595959"/>
      </w:rPr>
      <w:instrText xml:space="preserve"> NUMPAGES  </w:instrText>
    </w:r>
    <w:r w:rsidR="006F59D0" w:rsidRPr="00295D03">
      <w:rPr>
        <w:color w:val="595959"/>
      </w:rPr>
      <w:fldChar w:fldCharType="separate"/>
    </w:r>
    <w:r w:rsidR="00E5062E">
      <w:rPr>
        <w:noProof/>
        <w:color w:val="595959"/>
      </w:rPr>
      <w:t>3</w:t>
    </w:r>
    <w:r w:rsidR="006F59D0" w:rsidRPr="00295D03">
      <w:rPr>
        <w:color w:val="595959"/>
      </w:rPr>
      <w:fldChar w:fldCharType="end"/>
    </w:r>
  </w:p>
  <w:p w14:paraId="637DCBD1" w14:textId="77777777" w:rsidR="00620B80" w:rsidRPr="00AA1E96" w:rsidRDefault="00620B80" w:rsidP="00281CBA">
    <w:pPr>
      <w:ind w:right="-1"/>
      <w:rPr>
        <w:color w:val="59595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2A"/>
    <w:multiLevelType w:val="hybridMultilevel"/>
    <w:tmpl w:val="C20E108C"/>
    <w:lvl w:ilvl="0" w:tplc="1E28664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080E"/>
    <w:multiLevelType w:val="hybridMultilevel"/>
    <w:tmpl w:val="4F70FB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258"/>
    <w:multiLevelType w:val="hybridMultilevel"/>
    <w:tmpl w:val="D77C704E"/>
    <w:lvl w:ilvl="0" w:tplc="91F03EF0"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2FDD"/>
    <w:multiLevelType w:val="hybridMultilevel"/>
    <w:tmpl w:val="5D6431C8"/>
    <w:lvl w:ilvl="0" w:tplc="9B94F49A">
      <w:start w:val="22"/>
      <w:numFmt w:val="bullet"/>
      <w:lvlText w:val="-"/>
      <w:lvlJc w:val="left"/>
      <w:pPr>
        <w:ind w:left="1068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875421"/>
    <w:multiLevelType w:val="hybridMultilevel"/>
    <w:tmpl w:val="9E3C0C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10E5F"/>
    <w:multiLevelType w:val="hybridMultilevel"/>
    <w:tmpl w:val="25BAC3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0FE9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7" w15:restartNumberingAfterBreak="0">
    <w:nsid w:val="1F8E3149"/>
    <w:multiLevelType w:val="hybridMultilevel"/>
    <w:tmpl w:val="A1B8B6BC"/>
    <w:lvl w:ilvl="0" w:tplc="E9202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9E0D3B"/>
    <w:multiLevelType w:val="hybridMultilevel"/>
    <w:tmpl w:val="75D607DE"/>
    <w:lvl w:ilvl="0" w:tplc="474225CE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426719A"/>
    <w:multiLevelType w:val="hybridMultilevel"/>
    <w:tmpl w:val="86BEAE2C"/>
    <w:lvl w:ilvl="0" w:tplc="EA7298B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C1D"/>
    <w:multiLevelType w:val="hybridMultilevel"/>
    <w:tmpl w:val="CF1A93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F5469"/>
    <w:multiLevelType w:val="hybridMultilevel"/>
    <w:tmpl w:val="15B053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43816"/>
    <w:multiLevelType w:val="hybridMultilevel"/>
    <w:tmpl w:val="C1880C8A"/>
    <w:lvl w:ilvl="0" w:tplc="4894C680">
      <w:start w:val="17"/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A4B"/>
    <w:multiLevelType w:val="hybridMultilevel"/>
    <w:tmpl w:val="A4F27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A13D6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5" w15:restartNumberingAfterBreak="0">
    <w:nsid w:val="56997FA0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6" w15:restartNumberingAfterBreak="0">
    <w:nsid w:val="5DA67DAF"/>
    <w:multiLevelType w:val="hybridMultilevel"/>
    <w:tmpl w:val="D1149CCC"/>
    <w:lvl w:ilvl="0" w:tplc="94A634C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925DF"/>
    <w:multiLevelType w:val="hybridMultilevel"/>
    <w:tmpl w:val="290C377E"/>
    <w:lvl w:ilvl="0" w:tplc="197C0CAE">
      <w:start w:val="1"/>
      <w:numFmt w:val="bullet"/>
      <w:lvlText w:val="–"/>
      <w:lvlJc w:val="left"/>
      <w:pPr>
        <w:tabs>
          <w:tab w:val="num" w:pos="817"/>
        </w:tabs>
        <w:ind w:left="817" w:hanging="420"/>
      </w:pPr>
      <w:rPr>
        <w:rFonts w:ascii="Arial" w:hAnsi="Arial" w:hint="default"/>
        <w:color w:val="1E325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A382BB7"/>
    <w:multiLevelType w:val="hybridMultilevel"/>
    <w:tmpl w:val="48B01BBE"/>
    <w:lvl w:ilvl="0" w:tplc="D8F0FED8">
      <w:numFmt w:val="bullet"/>
      <w:lvlText w:val="-"/>
      <w:lvlJc w:val="left"/>
      <w:pPr>
        <w:ind w:left="108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5B6D52"/>
    <w:multiLevelType w:val="hybridMultilevel"/>
    <w:tmpl w:val="BB04120C"/>
    <w:lvl w:ilvl="0" w:tplc="3C9EED2E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B09"/>
    <w:multiLevelType w:val="hybridMultilevel"/>
    <w:tmpl w:val="43DA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3976"/>
    <w:multiLevelType w:val="hybridMultilevel"/>
    <w:tmpl w:val="46B27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D0307"/>
    <w:multiLevelType w:val="multilevel"/>
    <w:tmpl w:val="75D607DE"/>
    <w:lvl w:ilvl="0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8BA54EB"/>
    <w:multiLevelType w:val="hybridMultilevel"/>
    <w:tmpl w:val="1A16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6C1C"/>
    <w:multiLevelType w:val="hybridMultilevel"/>
    <w:tmpl w:val="A202910A"/>
    <w:lvl w:ilvl="0" w:tplc="DA7A3C9C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05AE"/>
    <w:multiLevelType w:val="multilevel"/>
    <w:tmpl w:val="46B27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1368A"/>
    <w:multiLevelType w:val="multilevel"/>
    <w:tmpl w:val="C20E108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22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1"/>
  </w:num>
  <w:num w:numId="12">
    <w:abstractNumId w:val="25"/>
  </w:num>
  <w:num w:numId="13">
    <w:abstractNumId w:val="0"/>
  </w:num>
  <w:num w:numId="14">
    <w:abstractNumId w:val="26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20"/>
  </w:num>
  <w:num w:numId="23">
    <w:abstractNumId w:val="11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9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E"/>
    <w:rsid w:val="000005D9"/>
    <w:rsid w:val="000011BF"/>
    <w:rsid w:val="000021E5"/>
    <w:rsid w:val="00002CBD"/>
    <w:rsid w:val="00003115"/>
    <w:rsid w:val="00003120"/>
    <w:rsid w:val="00004791"/>
    <w:rsid w:val="000048BF"/>
    <w:rsid w:val="00005FA6"/>
    <w:rsid w:val="0000717C"/>
    <w:rsid w:val="000072AA"/>
    <w:rsid w:val="000104E7"/>
    <w:rsid w:val="00015392"/>
    <w:rsid w:val="00015B5B"/>
    <w:rsid w:val="00015F77"/>
    <w:rsid w:val="000161E9"/>
    <w:rsid w:val="00016658"/>
    <w:rsid w:val="00017D99"/>
    <w:rsid w:val="000223B3"/>
    <w:rsid w:val="0002288D"/>
    <w:rsid w:val="00023CD2"/>
    <w:rsid w:val="0002695F"/>
    <w:rsid w:val="00026F3F"/>
    <w:rsid w:val="00027206"/>
    <w:rsid w:val="00031935"/>
    <w:rsid w:val="000363D8"/>
    <w:rsid w:val="000367CF"/>
    <w:rsid w:val="00036FA5"/>
    <w:rsid w:val="00036FCB"/>
    <w:rsid w:val="00040A1C"/>
    <w:rsid w:val="00041BBD"/>
    <w:rsid w:val="00042C62"/>
    <w:rsid w:val="000444B9"/>
    <w:rsid w:val="00045064"/>
    <w:rsid w:val="000452B9"/>
    <w:rsid w:val="000452E8"/>
    <w:rsid w:val="00045B7B"/>
    <w:rsid w:val="00050F86"/>
    <w:rsid w:val="000510DF"/>
    <w:rsid w:val="0005195A"/>
    <w:rsid w:val="00051BB4"/>
    <w:rsid w:val="00052286"/>
    <w:rsid w:val="00053AE5"/>
    <w:rsid w:val="00053C87"/>
    <w:rsid w:val="00056807"/>
    <w:rsid w:val="00056F71"/>
    <w:rsid w:val="00062DD6"/>
    <w:rsid w:val="00064023"/>
    <w:rsid w:val="00066CB8"/>
    <w:rsid w:val="000670AB"/>
    <w:rsid w:val="000677B3"/>
    <w:rsid w:val="00067A18"/>
    <w:rsid w:val="00067AF4"/>
    <w:rsid w:val="00072497"/>
    <w:rsid w:val="000737FC"/>
    <w:rsid w:val="00073E63"/>
    <w:rsid w:val="00074223"/>
    <w:rsid w:val="00075B70"/>
    <w:rsid w:val="00075C9B"/>
    <w:rsid w:val="0007773B"/>
    <w:rsid w:val="00077D10"/>
    <w:rsid w:val="00080F33"/>
    <w:rsid w:val="0008217F"/>
    <w:rsid w:val="00083351"/>
    <w:rsid w:val="000837E7"/>
    <w:rsid w:val="00084D22"/>
    <w:rsid w:val="00086EE2"/>
    <w:rsid w:val="0008794A"/>
    <w:rsid w:val="00092A83"/>
    <w:rsid w:val="00092C4B"/>
    <w:rsid w:val="00093250"/>
    <w:rsid w:val="000960F6"/>
    <w:rsid w:val="00096D25"/>
    <w:rsid w:val="000975AA"/>
    <w:rsid w:val="000A013F"/>
    <w:rsid w:val="000A0B25"/>
    <w:rsid w:val="000A10C8"/>
    <w:rsid w:val="000A139B"/>
    <w:rsid w:val="000A2D3D"/>
    <w:rsid w:val="000A680D"/>
    <w:rsid w:val="000A7F6F"/>
    <w:rsid w:val="000B2709"/>
    <w:rsid w:val="000B31B1"/>
    <w:rsid w:val="000B3A17"/>
    <w:rsid w:val="000B3AB8"/>
    <w:rsid w:val="000B42C6"/>
    <w:rsid w:val="000B5D40"/>
    <w:rsid w:val="000B6065"/>
    <w:rsid w:val="000C0750"/>
    <w:rsid w:val="000C10A5"/>
    <w:rsid w:val="000C4C2D"/>
    <w:rsid w:val="000C5B17"/>
    <w:rsid w:val="000C6154"/>
    <w:rsid w:val="000C6E42"/>
    <w:rsid w:val="000C7835"/>
    <w:rsid w:val="000D01C6"/>
    <w:rsid w:val="000D1B80"/>
    <w:rsid w:val="000D22BA"/>
    <w:rsid w:val="000D38A3"/>
    <w:rsid w:val="000D4674"/>
    <w:rsid w:val="000D4D60"/>
    <w:rsid w:val="000E24C2"/>
    <w:rsid w:val="000E2F1C"/>
    <w:rsid w:val="000E5E71"/>
    <w:rsid w:val="000E7F61"/>
    <w:rsid w:val="000F02ED"/>
    <w:rsid w:val="000F039B"/>
    <w:rsid w:val="000F0433"/>
    <w:rsid w:val="000F05A1"/>
    <w:rsid w:val="000F0D88"/>
    <w:rsid w:val="000F25C3"/>
    <w:rsid w:val="000F3468"/>
    <w:rsid w:val="000F39D5"/>
    <w:rsid w:val="000F3D82"/>
    <w:rsid w:val="000F59A6"/>
    <w:rsid w:val="000F6629"/>
    <w:rsid w:val="00100386"/>
    <w:rsid w:val="00100CFD"/>
    <w:rsid w:val="0010289F"/>
    <w:rsid w:val="001040F3"/>
    <w:rsid w:val="00104406"/>
    <w:rsid w:val="00104E07"/>
    <w:rsid w:val="00105CA3"/>
    <w:rsid w:val="00105DFB"/>
    <w:rsid w:val="00107615"/>
    <w:rsid w:val="00107757"/>
    <w:rsid w:val="001116AE"/>
    <w:rsid w:val="00112077"/>
    <w:rsid w:val="00112603"/>
    <w:rsid w:val="00114334"/>
    <w:rsid w:val="001175CD"/>
    <w:rsid w:val="00117E6D"/>
    <w:rsid w:val="00121233"/>
    <w:rsid w:val="001214D9"/>
    <w:rsid w:val="001217DC"/>
    <w:rsid w:val="00130A7E"/>
    <w:rsid w:val="00131B76"/>
    <w:rsid w:val="00132EC1"/>
    <w:rsid w:val="001346D4"/>
    <w:rsid w:val="00134B27"/>
    <w:rsid w:val="0013798A"/>
    <w:rsid w:val="00141CF4"/>
    <w:rsid w:val="00142BBC"/>
    <w:rsid w:val="001433B5"/>
    <w:rsid w:val="00143D10"/>
    <w:rsid w:val="00144E91"/>
    <w:rsid w:val="00152E15"/>
    <w:rsid w:val="0015392F"/>
    <w:rsid w:val="00153B23"/>
    <w:rsid w:val="00153C17"/>
    <w:rsid w:val="00154212"/>
    <w:rsid w:val="00155A53"/>
    <w:rsid w:val="00156732"/>
    <w:rsid w:val="00157F68"/>
    <w:rsid w:val="001603F0"/>
    <w:rsid w:val="0016094E"/>
    <w:rsid w:val="00162028"/>
    <w:rsid w:val="00163E3F"/>
    <w:rsid w:val="00164220"/>
    <w:rsid w:val="0016451C"/>
    <w:rsid w:val="00167E8F"/>
    <w:rsid w:val="00170530"/>
    <w:rsid w:val="001716CA"/>
    <w:rsid w:val="00172030"/>
    <w:rsid w:val="00172986"/>
    <w:rsid w:val="00173A78"/>
    <w:rsid w:val="00175841"/>
    <w:rsid w:val="001760F9"/>
    <w:rsid w:val="001775E9"/>
    <w:rsid w:val="0017777E"/>
    <w:rsid w:val="0018034E"/>
    <w:rsid w:val="00181E20"/>
    <w:rsid w:val="00182A05"/>
    <w:rsid w:val="00184F10"/>
    <w:rsid w:val="00186515"/>
    <w:rsid w:val="001869E9"/>
    <w:rsid w:val="001870DB"/>
    <w:rsid w:val="001915B1"/>
    <w:rsid w:val="001949EC"/>
    <w:rsid w:val="00195AA4"/>
    <w:rsid w:val="00196BCA"/>
    <w:rsid w:val="001A09E5"/>
    <w:rsid w:val="001A2620"/>
    <w:rsid w:val="001A297D"/>
    <w:rsid w:val="001A42B0"/>
    <w:rsid w:val="001A5922"/>
    <w:rsid w:val="001A6833"/>
    <w:rsid w:val="001A79E3"/>
    <w:rsid w:val="001B032B"/>
    <w:rsid w:val="001B061E"/>
    <w:rsid w:val="001B5967"/>
    <w:rsid w:val="001B5A77"/>
    <w:rsid w:val="001B5FDA"/>
    <w:rsid w:val="001B673E"/>
    <w:rsid w:val="001B7A1E"/>
    <w:rsid w:val="001C08B0"/>
    <w:rsid w:val="001C140B"/>
    <w:rsid w:val="001C140D"/>
    <w:rsid w:val="001C3363"/>
    <w:rsid w:val="001C5297"/>
    <w:rsid w:val="001C6F97"/>
    <w:rsid w:val="001D02B5"/>
    <w:rsid w:val="001D2BBA"/>
    <w:rsid w:val="001D33F3"/>
    <w:rsid w:val="001D3952"/>
    <w:rsid w:val="001D3C5E"/>
    <w:rsid w:val="001D4591"/>
    <w:rsid w:val="001D611A"/>
    <w:rsid w:val="001E1313"/>
    <w:rsid w:val="001E17C6"/>
    <w:rsid w:val="001E22D1"/>
    <w:rsid w:val="001E2617"/>
    <w:rsid w:val="001E2CBF"/>
    <w:rsid w:val="001E3328"/>
    <w:rsid w:val="001E4A7F"/>
    <w:rsid w:val="001E5A73"/>
    <w:rsid w:val="001E70D2"/>
    <w:rsid w:val="001F08AE"/>
    <w:rsid w:val="001F2297"/>
    <w:rsid w:val="001F3D44"/>
    <w:rsid w:val="001F4953"/>
    <w:rsid w:val="001F5712"/>
    <w:rsid w:val="001F5D97"/>
    <w:rsid w:val="001F7BD9"/>
    <w:rsid w:val="001F7E39"/>
    <w:rsid w:val="001F7F79"/>
    <w:rsid w:val="002043EF"/>
    <w:rsid w:val="00207687"/>
    <w:rsid w:val="00210CD3"/>
    <w:rsid w:val="00211708"/>
    <w:rsid w:val="00212759"/>
    <w:rsid w:val="00212FE2"/>
    <w:rsid w:val="002132A6"/>
    <w:rsid w:val="0021447B"/>
    <w:rsid w:val="00215486"/>
    <w:rsid w:val="00216FC5"/>
    <w:rsid w:val="00216FCB"/>
    <w:rsid w:val="00222338"/>
    <w:rsid w:val="00224C8B"/>
    <w:rsid w:val="00226CF1"/>
    <w:rsid w:val="0023229C"/>
    <w:rsid w:val="00232697"/>
    <w:rsid w:val="00233567"/>
    <w:rsid w:val="00235309"/>
    <w:rsid w:val="00235575"/>
    <w:rsid w:val="00235961"/>
    <w:rsid w:val="002368AB"/>
    <w:rsid w:val="0023731D"/>
    <w:rsid w:val="00237C2A"/>
    <w:rsid w:val="00240652"/>
    <w:rsid w:val="00240763"/>
    <w:rsid w:val="0024248B"/>
    <w:rsid w:val="002439EC"/>
    <w:rsid w:val="0024479C"/>
    <w:rsid w:val="00245AE0"/>
    <w:rsid w:val="0024784C"/>
    <w:rsid w:val="00247B83"/>
    <w:rsid w:val="00247BA5"/>
    <w:rsid w:val="0025073F"/>
    <w:rsid w:val="00250D08"/>
    <w:rsid w:val="00251BB5"/>
    <w:rsid w:val="002533CD"/>
    <w:rsid w:val="00253E2B"/>
    <w:rsid w:val="0025446D"/>
    <w:rsid w:val="00254AA7"/>
    <w:rsid w:val="0025572C"/>
    <w:rsid w:val="00256BBD"/>
    <w:rsid w:val="002570CB"/>
    <w:rsid w:val="00261418"/>
    <w:rsid w:val="00262243"/>
    <w:rsid w:val="002628A6"/>
    <w:rsid w:val="00265275"/>
    <w:rsid w:val="00266E74"/>
    <w:rsid w:val="00266E87"/>
    <w:rsid w:val="00273B51"/>
    <w:rsid w:val="00275631"/>
    <w:rsid w:val="00277231"/>
    <w:rsid w:val="00281CBA"/>
    <w:rsid w:val="00284161"/>
    <w:rsid w:val="00285A1C"/>
    <w:rsid w:val="00286AAB"/>
    <w:rsid w:val="00287523"/>
    <w:rsid w:val="00287C88"/>
    <w:rsid w:val="00287DAB"/>
    <w:rsid w:val="0029225D"/>
    <w:rsid w:val="00292322"/>
    <w:rsid w:val="00294453"/>
    <w:rsid w:val="00295D03"/>
    <w:rsid w:val="00297B58"/>
    <w:rsid w:val="00297CF8"/>
    <w:rsid w:val="002A0A0B"/>
    <w:rsid w:val="002A2716"/>
    <w:rsid w:val="002A3802"/>
    <w:rsid w:val="002A6B52"/>
    <w:rsid w:val="002A6E8D"/>
    <w:rsid w:val="002B02C5"/>
    <w:rsid w:val="002B0526"/>
    <w:rsid w:val="002B11FD"/>
    <w:rsid w:val="002B1209"/>
    <w:rsid w:val="002B46ED"/>
    <w:rsid w:val="002B580A"/>
    <w:rsid w:val="002C0EB1"/>
    <w:rsid w:val="002C1780"/>
    <w:rsid w:val="002C25E3"/>
    <w:rsid w:val="002C2D7F"/>
    <w:rsid w:val="002C5195"/>
    <w:rsid w:val="002C763B"/>
    <w:rsid w:val="002C7A13"/>
    <w:rsid w:val="002D29F6"/>
    <w:rsid w:val="002D32FB"/>
    <w:rsid w:val="002D3659"/>
    <w:rsid w:val="002D3684"/>
    <w:rsid w:val="002D3841"/>
    <w:rsid w:val="002D3930"/>
    <w:rsid w:val="002D567E"/>
    <w:rsid w:val="002D5B17"/>
    <w:rsid w:val="002D64B5"/>
    <w:rsid w:val="002D7023"/>
    <w:rsid w:val="002D7BF7"/>
    <w:rsid w:val="002E05B2"/>
    <w:rsid w:val="002E0C7F"/>
    <w:rsid w:val="002E4477"/>
    <w:rsid w:val="002E4C52"/>
    <w:rsid w:val="002E4D40"/>
    <w:rsid w:val="002F02EA"/>
    <w:rsid w:val="002F1460"/>
    <w:rsid w:val="002F1474"/>
    <w:rsid w:val="002F26B9"/>
    <w:rsid w:val="002F33E4"/>
    <w:rsid w:val="002F3891"/>
    <w:rsid w:val="002F4EAC"/>
    <w:rsid w:val="002F60BA"/>
    <w:rsid w:val="002F7B99"/>
    <w:rsid w:val="0030020B"/>
    <w:rsid w:val="00301D3B"/>
    <w:rsid w:val="00302A50"/>
    <w:rsid w:val="00302B80"/>
    <w:rsid w:val="00303D2B"/>
    <w:rsid w:val="003049C5"/>
    <w:rsid w:val="00304FAC"/>
    <w:rsid w:val="00305811"/>
    <w:rsid w:val="00310173"/>
    <w:rsid w:val="00312485"/>
    <w:rsid w:val="00313B05"/>
    <w:rsid w:val="00315FBF"/>
    <w:rsid w:val="003242BA"/>
    <w:rsid w:val="00325B1C"/>
    <w:rsid w:val="00325DF6"/>
    <w:rsid w:val="00326BD8"/>
    <w:rsid w:val="00330377"/>
    <w:rsid w:val="00330C73"/>
    <w:rsid w:val="00330CD9"/>
    <w:rsid w:val="00331958"/>
    <w:rsid w:val="003340C8"/>
    <w:rsid w:val="0033450F"/>
    <w:rsid w:val="00336CAA"/>
    <w:rsid w:val="00336E66"/>
    <w:rsid w:val="00337B27"/>
    <w:rsid w:val="0034002B"/>
    <w:rsid w:val="003426E1"/>
    <w:rsid w:val="003430EC"/>
    <w:rsid w:val="003440B9"/>
    <w:rsid w:val="00345D48"/>
    <w:rsid w:val="0035001A"/>
    <w:rsid w:val="003516C6"/>
    <w:rsid w:val="0035204C"/>
    <w:rsid w:val="003520D4"/>
    <w:rsid w:val="0035328F"/>
    <w:rsid w:val="00353E15"/>
    <w:rsid w:val="0035569F"/>
    <w:rsid w:val="00362A22"/>
    <w:rsid w:val="0036377C"/>
    <w:rsid w:val="00363C4C"/>
    <w:rsid w:val="00366AB3"/>
    <w:rsid w:val="00367280"/>
    <w:rsid w:val="00367503"/>
    <w:rsid w:val="00372261"/>
    <w:rsid w:val="00372CA8"/>
    <w:rsid w:val="00372CE3"/>
    <w:rsid w:val="00373746"/>
    <w:rsid w:val="00374C4E"/>
    <w:rsid w:val="003760D8"/>
    <w:rsid w:val="003764DD"/>
    <w:rsid w:val="00376CA7"/>
    <w:rsid w:val="00376EB0"/>
    <w:rsid w:val="00376F3C"/>
    <w:rsid w:val="003804F8"/>
    <w:rsid w:val="003810A8"/>
    <w:rsid w:val="00381687"/>
    <w:rsid w:val="0038447B"/>
    <w:rsid w:val="00384798"/>
    <w:rsid w:val="00385042"/>
    <w:rsid w:val="0038689B"/>
    <w:rsid w:val="003877C0"/>
    <w:rsid w:val="0039225C"/>
    <w:rsid w:val="0039286C"/>
    <w:rsid w:val="003928EB"/>
    <w:rsid w:val="00393B72"/>
    <w:rsid w:val="0039422F"/>
    <w:rsid w:val="0039432B"/>
    <w:rsid w:val="00394A45"/>
    <w:rsid w:val="00394B76"/>
    <w:rsid w:val="003954BE"/>
    <w:rsid w:val="00396F24"/>
    <w:rsid w:val="00397ABD"/>
    <w:rsid w:val="003A0FD3"/>
    <w:rsid w:val="003A4C48"/>
    <w:rsid w:val="003A4FB5"/>
    <w:rsid w:val="003A530D"/>
    <w:rsid w:val="003A532B"/>
    <w:rsid w:val="003A58EE"/>
    <w:rsid w:val="003A65D3"/>
    <w:rsid w:val="003B2222"/>
    <w:rsid w:val="003B38D5"/>
    <w:rsid w:val="003B3C08"/>
    <w:rsid w:val="003B4867"/>
    <w:rsid w:val="003B5B89"/>
    <w:rsid w:val="003C13CE"/>
    <w:rsid w:val="003C17BA"/>
    <w:rsid w:val="003C1A79"/>
    <w:rsid w:val="003C39A2"/>
    <w:rsid w:val="003C483A"/>
    <w:rsid w:val="003C4D03"/>
    <w:rsid w:val="003C578B"/>
    <w:rsid w:val="003C5C47"/>
    <w:rsid w:val="003C70DE"/>
    <w:rsid w:val="003C767D"/>
    <w:rsid w:val="003C7907"/>
    <w:rsid w:val="003D0A13"/>
    <w:rsid w:val="003D2297"/>
    <w:rsid w:val="003D2BAC"/>
    <w:rsid w:val="003D4911"/>
    <w:rsid w:val="003D7956"/>
    <w:rsid w:val="003E0F2C"/>
    <w:rsid w:val="003E24F6"/>
    <w:rsid w:val="003E2BB2"/>
    <w:rsid w:val="003E4B0B"/>
    <w:rsid w:val="003E66A7"/>
    <w:rsid w:val="003E6B6C"/>
    <w:rsid w:val="003E724A"/>
    <w:rsid w:val="003F3271"/>
    <w:rsid w:val="003F4C9E"/>
    <w:rsid w:val="003F569C"/>
    <w:rsid w:val="003F7C1F"/>
    <w:rsid w:val="00401CDC"/>
    <w:rsid w:val="00402595"/>
    <w:rsid w:val="00402C80"/>
    <w:rsid w:val="00403508"/>
    <w:rsid w:val="004048C5"/>
    <w:rsid w:val="004071CD"/>
    <w:rsid w:val="00410536"/>
    <w:rsid w:val="004130CA"/>
    <w:rsid w:val="00413B33"/>
    <w:rsid w:val="00415FDD"/>
    <w:rsid w:val="004173CB"/>
    <w:rsid w:val="004179BB"/>
    <w:rsid w:val="00420D25"/>
    <w:rsid w:val="004222EF"/>
    <w:rsid w:val="0042644F"/>
    <w:rsid w:val="00431CE1"/>
    <w:rsid w:val="00431E70"/>
    <w:rsid w:val="004333F9"/>
    <w:rsid w:val="0043373F"/>
    <w:rsid w:val="00435A83"/>
    <w:rsid w:val="00436BF8"/>
    <w:rsid w:val="00441FA9"/>
    <w:rsid w:val="0044541F"/>
    <w:rsid w:val="0044637D"/>
    <w:rsid w:val="004512C3"/>
    <w:rsid w:val="00451F81"/>
    <w:rsid w:val="00454447"/>
    <w:rsid w:val="004544F8"/>
    <w:rsid w:val="00454C95"/>
    <w:rsid w:val="00455C87"/>
    <w:rsid w:val="0045605A"/>
    <w:rsid w:val="00457F31"/>
    <w:rsid w:val="00460F56"/>
    <w:rsid w:val="00461110"/>
    <w:rsid w:val="00461CCD"/>
    <w:rsid w:val="004628DF"/>
    <w:rsid w:val="00462CBC"/>
    <w:rsid w:val="00463A01"/>
    <w:rsid w:val="0046488C"/>
    <w:rsid w:val="004653C0"/>
    <w:rsid w:val="004663CE"/>
    <w:rsid w:val="00470036"/>
    <w:rsid w:val="0047041F"/>
    <w:rsid w:val="00470EDA"/>
    <w:rsid w:val="00471581"/>
    <w:rsid w:val="00471D93"/>
    <w:rsid w:val="00472345"/>
    <w:rsid w:val="00473ADA"/>
    <w:rsid w:val="004749E1"/>
    <w:rsid w:val="00477340"/>
    <w:rsid w:val="0048017F"/>
    <w:rsid w:val="00481180"/>
    <w:rsid w:val="00482044"/>
    <w:rsid w:val="00484C7A"/>
    <w:rsid w:val="0048546C"/>
    <w:rsid w:val="00485976"/>
    <w:rsid w:val="00485A69"/>
    <w:rsid w:val="0048628E"/>
    <w:rsid w:val="004868F4"/>
    <w:rsid w:val="00487238"/>
    <w:rsid w:val="00490D06"/>
    <w:rsid w:val="00492051"/>
    <w:rsid w:val="00492951"/>
    <w:rsid w:val="00495B47"/>
    <w:rsid w:val="00495C59"/>
    <w:rsid w:val="00496097"/>
    <w:rsid w:val="004A1C86"/>
    <w:rsid w:val="004A3989"/>
    <w:rsid w:val="004A4184"/>
    <w:rsid w:val="004A4269"/>
    <w:rsid w:val="004A5AFB"/>
    <w:rsid w:val="004A66D6"/>
    <w:rsid w:val="004A7684"/>
    <w:rsid w:val="004B214E"/>
    <w:rsid w:val="004B443A"/>
    <w:rsid w:val="004B68AB"/>
    <w:rsid w:val="004B733E"/>
    <w:rsid w:val="004C29D9"/>
    <w:rsid w:val="004C37FD"/>
    <w:rsid w:val="004C4288"/>
    <w:rsid w:val="004C44EA"/>
    <w:rsid w:val="004C4A1F"/>
    <w:rsid w:val="004C5A02"/>
    <w:rsid w:val="004C6D46"/>
    <w:rsid w:val="004C7458"/>
    <w:rsid w:val="004D141C"/>
    <w:rsid w:val="004D18F3"/>
    <w:rsid w:val="004D2ED7"/>
    <w:rsid w:val="004D4BA9"/>
    <w:rsid w:val="004D4F5B"/>
    <w:rsid w:val="004D65AA"/>
    <w:rsid w:val="004D68E6"/>
    <w:rsid w:val="004D6DE1"/>
    <w:rsid w:val="004E19EA"/>
    <w:rsid w:val="004E1DCB"/>
    <w:rsid w:val="004E2560"/>
    <w:rsid w:val="004E5BC1"/>
    <w:rsid w:val="004F05BB"/>
    <w:rsid w:val="004F1321"/>
    <w:rsid w:val="004F2CF4"/>
    <w:rsid w:val="004F5F55"/>
    <w:rsid w:val="004F6498"/>
    <w:rsid w:val="004F7DB3"/>
    <w:rsid w:val="0050148C"/>
    <w:rsid w:val="00502882"/>
    <w:rsid w:val="0050660F"/>
    <w:rsid w:val="00507C16"/>
    <w:rsid w:val="00511448"/>
    <w:rsid w:val="005114A3"/>
    <w:rsid w:val="005117FE"/>
    <w:rsid w:val="005121BB"/>
    <w:rsid w:val="00512D7F"/>
    <w:rsid w:val="00513403"/>
    <w:rsid w:val="00513683"/>
    <w:rsid w:val="00513AD2"/>
    <w:rsid w:val="0051573F"/>
    <w:rsid w:val="00521F12"/>
    <w:rsid w:val="00525314"/>
    <w:rsid w:val="0052552D"/>
    <w:rsid w:val="00527423"/>
    <w:rsid w:val="00531FC7"/>
    <w:rsid w:val="00532867"/>
    <w:rsid w:val="00532E59"/>
    <w:rsid w:val="00533BE4"/>
    <w:rsid w:val="00534CB7"/>
    <w:rsid w:val="0053732E"/>
    <w:rsid w:val="00540160"/>
    <w:rsid w:val="00540BA0"/>
    <w:rsid w:val="00540D55"/>
    <w:rsid w:val="00540D9C"/>
    <w:rsid w:val="005412B6"/>
    <w:rsid w:val="00543773"/>
    <w:rsid w:val="0054480B"/>
    <w:rsid w:val="00544B7A"/>
    <w:rsid w:val="0054526D"/>
    <w:rsid w:val="005461C5"/>
    <w:rsid w:val="0054640D"/>
    <w:rsid w:val="005473B2"/>
    <w:rsid w:val="005521C9"/>
    <w:rsid w:val="0055556B"/>
    <w:rsid w:val="00562BAB"/>
    <w:rsid w:val="0056327F"/>
    <w:rsid w:val="005654AB"/>
    <w:rsid w:val="005665A6"/>
    <w:rsid w:val="005668B6"/>
    <w:rsid w:val="00574F5C"/>
    <w:rsid w:val="00575262"/>
    <w:rsid w:val="0057579E"/>
    <w:rsid w:val="005806AD"/>
    <w:rsid w:val="00581038"/>
    <w:rsid w:val="00581AF6"/>
    <w:rsid w:val="005825EE"/>
    <w:rsid w:val="00582CAF"/>
    <w:rsid w:val="00582ED9"/>
    <w:rsid w:val="00583A98"/>
    <w:rsid w:val="00584ABD"/>
    <w:rsid w:val="00585B0B"/>
    <w:rsid w:val="00586624"/>
    <w:rsid w:val="00586B1A"/>
    <w:rsid w:val="005939BF"/>
    <w:rsid w:val="005A0772"/>
    <w:rsid w:val="005A0904"/>
    <w:rsid w:val="005A09A8"/>
    <w:rsid w:val="005A130B"/>
    <w:rsid w:val="005A16CA"/>
    <w:rsid w:val="005A1890"/>
    <w:rsid w:val="005A5303"/>
    <w:rsid w:val="005A61E4"/>
    <w:rsid w:val="005A7C41"/>
    <w:rsid w:val="005B16BE"/>
    <w:rsid w:val="005B43E3"/>
    <w:rsid w:val="005B63F5"/>
    <w:rsid w:val="005C0924"/>
    <w:rsid w:val="005C0D22"/>
    <w:rsid w:val="005C1FBB"/>
    <w:rsid w:val="005C2E91"/>
    <w:rsid w:val="005C353B"/>
    <w:rsid w:val="005C408B"/>
    <w:rsid w:val="005C6512"/>
    <w:rsid w:val="005D0AEF"/>
    <w:rsid w:val="005D1FC3"/>
    <w:rsid w:val="005D2778"/>
    <w:rsid w:val="005D351D"/>
    <w:rsid w:val="005D3AE4"/>
    <w:rsid w:val="005D415E"/>
    <w:rsid w:val="005D7128"/>
    <w:rsid w:val="005D738A"/>
    <w:rsid w:val="005D7530"/>
    <w:rsid w:val="005E00A8"/>
    <w:rsid w:val="005E062D"/>
    <w:rsid w:val="005E2529"/>
    <w:rsid w:val="005E3BFD"/>
    <w:rsid w:val="005E4EA0"/>
    <w:rsid w:val="005E52DF"/>
    <w:rsid w:val="005E6329"/>
    <w:rsid w:val="005E6C9E"/>
    <w:rsid w:val="005E724E"/>
    <w:rsid w:val="005F064C"/>
    <w:rsid w:val="005F31B2"/>
    <w:rsid w:val="005F5441"/>
    <w:rsid w:val="005F6F51"/>
    <w:rsid w:val="005F73C1"/>
    <w:rsid w:val="006002FC"/>
    <w:rsid w:val="00602D58"/>
    <w:rsid w:val="0060347B"/>
    <w:rsid w:val="00603BEE"/>
    <w:rsid w:val="00606D8F"/>
    <w:rsid w:val="0061209B"/>
    <w:rsid w:val="006124AD"/>
    <w:rsid w:val="00613459"/>
    <w:rsid w:val="006152A1"/>
    <w:rsid w:val="0061623D"/>
    <w:rsid w:val="006167CF"/>
    <w:rsid w:val="00616870"/>
    <w:rsid w:val="00617503"/>
    <w:rsid w:val="0062025C"/>
    <w:rsid w:val="00620B80"/>
    <w:rsid w:val="00620F39"/>
    <w:rsid w:val="00621134"/>
    <w:rsid w:val="00621E66"/>
    <w:rsid w:val="006220B1"/>
    <w:rsid w:val="0062290B"/>
    <w:rsid w:val="00630544"/>
    <w:rsid w:val="00631744"/>
    <w:rsid w:val="0063233B"/>
    <w:rsid w:val="00632AEF"/>
    <w:rsid w:val="00633348"/>
    <w:rsid w:val="00634134"/>
    <w:rsid w:val="0063477E"/>
    <w:rsid w:val="00635D84"/>
    <w:rsid w:val="00637E09"/>
    <w:rsid w:val="00644F00"/>
    <w:rsid w:val="006457DB"/>
    <w:rsid w:val="00650FBC"/>
    <w:rsid w:val="00652DF3"/>
    <w:rsid w:val="0065462A"/>
    <w:rsid w:val="006558CB"/>
    <w:rsid w:val="00656FD2"/>
    <w:rsid w:val="006619AB"/>
    <w:rsid w:val="00661D4D"/>
    <w:rsid w:val="00664184"/>
    <w:rsid w:val="00664661"/>
    <w:rsid w:val="00666467"/>
    <w:rsid w:val="006666DD"/>
    <w:rsid w:val="0067007C"/>
    <w:rsid w:val="00670EB5"/>
    <w:rsid w:val="00675ED0"/>
    <w:rsid w:val="006765EB"/>
    <w:rsid w:val="0067781E"/>
    <w:rsid w:val="00681608"/>
    <w:rsid w:val="00682015"/>
    <w:rsid w:val="00684196"/>
    <w:rsid w:val="00684F22"/>
    <w:rsid w:val="00685BD5"/>
    <w:rsid w:val="00687EA1"/>
    <w:rsid w:val="00690C72"/>
    <w:rsid w:val="00690F7F"/>
    <w:rsid w:val="00691750"/>
    <w:rsid w:val="006922DD"/>
    <w:rsid w:val="00694281"/>
    <w:rsid w:val="006950B3"/>
    <w:rsid w:val="00695E43"/>
    <w:rsid w:val="006A1062"/>
    <w:rsid w:val="006A2957"/>
    <w:rsid w:val="006A331A"/>
    <w:rsid w:val="006A3FF6"/>
    <w:rsid w:val="006A48E1"/>
    <w:rsid w:val="006A5833"/>
    <w:rsid w:val="006A67CC"/>
    <w:rsid w:val="006A734B"/>
    <w:rsid w:val="006B1EBD"/>
    <w:rsid w:val="006B4EC2"/>
    <w:rsid w:val="006B5A11"/>
    <w:rsid w:val="006B732C"/>
    <w:rsid w:val="006B772E"/>
    <w:rsid w:val="006B77DE"/>
    <w:rsid w:val="006C2201"/>
    <w:rsid w:val="006C40BE"/>
    <w:rsid w:val="006C4B12"/>
    <w:rsid w:val="006C508A"/>
    <w:rsid w:val="006C6426"/>
    <w:rsid w:val="006C69B2"/>
    <w:rsid w:val="006C7ED6"/>
    <w:rsid w:val="006D0659"/>
    <w:rsid w:val="006D07B3"/>
    <w:rsid w:val="006D2392"/>
    <w:rsid w:val="006D2576"/>
    <w:rsid w:val="006D2D0B"/>
    <w:rsid w:val="006D3563"/>
    <w:rsid w:val="006D3813"/>
    <w:rsid w:val="006D4CC8"/>
    <w:rsid w:val="006D75DC"/>
    <w:rsid w:val="006E0571"/>
    <w:rsid w:val="006E06E1"/>
    <w:rsid w:val="006E18CA"/>
    <w:rsid w:val="006E214F"/>
    <w:rsid w:val="006E5411"/>
    <w:rsid w:val="006E6692"/>
    <w:rsid w:val="006E6ED7"/>
    <w:rsid w:val="006F249E"/>
    <w:rsid w:val="006F59D0"/>
    <w:rsid w:val="006F77EC"/>
    <w:rsid w:val="00700161"/>
    <w:rsid w:val="00700A9F"/>
    <w:rsid w:val="00701159"/>
    <w:rsid w:val="00701291"/>
    <w:rsid w:val="007048F6"/>
    <w:rsid w:val="00705921"/>
    <w:rsid w:val="00706454"/>
    <w:rsid w:val="00707C97"/>
    <w:rsid w:val="0071017E"/>
    <w:rsid w:val="00710E40"/>
    <w:rsid w:val="00712307"/>
    <w:rsid w:val="007126D8"/>
    <w:rsid w:val="00712CED"/>
    <w:rsid w:val="007140A4"/>
    <w:rsid w:val="0071433D"/>
    <w:rsid w:val="007153AF"/>
    <w:rsid w:val="007176E3"/>
    <w:rsid w:val="007250D5"/>
    <w:rsid w:val="007252FD"/>
    <w:rsid w:val="007319D4"/>
    <w:rsid w:val="00732023"/>
    <w:rsid w:val="00734156"/>
    <w:rsid w:val="007342C9"/>
    <w:rsid w:val="00734FFA"/>
    <w:rsid w:val="00737358"/>
    <w:rsid w:val="0074175D"/>
    <w:rsid w:val="007439B0"/>
    <w:rsid w:val="00745264"/>
    <w:rsid w:val="00747C59"/>
    <w:rsid w:val="00750261"/>
    <w:rsid w:val="007519E0"/>
    <w:rsid w:val="00753A9E"/>
    <w:rsid w:val="007549EF"/>
    <w:rsid w:val="00756397"/>
    <w:rsid w:val="007576EB"/>
    <w:rsid w:val="00762155"/>
    <w:rsid w:val="00764BFA"/>
    <w:rsid w:val="00765F50"/>
    <w:rsid w:val="00766200"/>
    <w:rsid w:val="00766665"/>
    <w:rsid w:val="0077034F"/>
    <w:rsid w:val="00773425"/>
    <w:rsid w:val="00774B5B"/>
    <w:rsid w:val="0077794E"/>
    <w:rsid w:val="00781061"/>
    <w:rsid w:val="00781B7E"/>
    <w:rsid w:val="007831B8"/>
    <w:rsid w:val="00783E51"/>
    <w:rsid w:val="00787980"/>
    <w:rsid w:val="00793DCB"/>
    <w:rsid w:val="00793F99"/>
    <w:rsid w:val="00793FE1"/>
    <w:rsid w:val="00794401"/>
    <w:rsid w:val="0079497E"/>
    <w:rsid w:val="00794AFC"/>
    <w:rsid w:val="00795036"/>
    <w:rsid w:val="00796370"/>
    <w:rsid w:val="007A13CD"/>
    <w:rsid w:val="007A395A"/>
    <w:rsid w:val="007A4789"/>
    <w:rsid w:val="007A53C4"/>
    <w:rsid w:val="007A5484"/>
    <w:rsid w:val="007A59C0"/>
    <w:rsid w:val="007A5BA1"/>
    <w:rsid w:val="007A6083"/>
    <w:rsid w:val="007A74B2"/>
    <w:rsid w:val="007A7F91"/>
    <w:rsid w:val="007B196F"/>
    <w:rsid w:val="007B1CF0"/>
    <w:rsid w:val="007B1EE2"/>
    <w:rsid w:val="007B25D0"/>
    <w:rsid w:val="007B3231"/>
    <w:rsid w:val="007B3DD6"/>
    <w:rsid w:val="007B450C"/>
    <w:rsid w:val="007B5A7B"/>
    <w:rsid w:val="007B733E"/>
    <w:rsid w:val="007C0C9C"/>
    <w:rsid w:val="007C2A62"/>
    <w:rsid w:val="007C2B66"/>
    <w:rsid w:val="007C2D0F"/>
    <w:rsid w:val="007C2E21"/>
    <w:rsid w:val="007C319C"/>
    <w:rsid w:val="007C3D51"/>
    <w:rsid w:val="007C40F8"/>
    <w:rsid w:val="007C5DC5"/>
    <w:rsid w:val="007C6081"/>
    <w:rsid w:val="007C7E7B"/>
    <w:rsid w:val="007D2EFE"/>
    <w:rsid w:val="007D3620"/>
    <w:rsid w:val="007D3D3B"/>
    <w:rsid w:val="007D5570"/>
    <w:rsid w:val="007D7E38"/>
    <w:rsid w:val="007E069F"/>
    <w:rsid w:val="007E0CF2"/>
    <w:rsid w:val="007E0D38"/>
    <w:rsid w:val="007E38E4"/>
    <w:rsid w:val="007E3AD7"/>
    <w:rsid w:val="007E4AAC"/>
    <w:rsid w:val="007E502F"/>
    <w:rsid w:val="007E57E2"/>
    <w:rsid w:val="007F0CF0"/>
    <w:rsid w:val="007F1071"/>
    <w:rsid w:val="007F4624"/>
    <w:rsid w:val="007F576D"/>
    <w:rsid w:val="007F5AAF"/>
    <w:rsid w:val="007F5F5E"/>
    <w:rsid w:val="00800204"/>
    <w:rsid w:val="008006D8"/>
    <w:rsid w:val="008007DB"/>
    <w:rsid w:val="00800CE9"/>
    <w:rsid w:val="00801178"/>
    <w:rsid w:val="008036BA"/>
    <w:rsid w:val="008041B3"/>
    <w:rsid w:val="00805437"/>
    <w:rsid w:val="00807FCE"/>
    <w:rsid w:val="008105FE"/>
    <w:rsid w:val="0081064E"/>
    <w:rsid w:val="00810987"/>
    <w:rsid w:val="0081205E"/>
    <w:rsid w:val="008124FB"/>
    <w:rsid w:val="00815B0B"/>
    <w:rsid w:val="00816153"/>
    <w:rsid w:val="00820AB6"/>
    <w:rsid w:val="00820B7B"/>
    <w:rsid w:val="00822264"/>
    <w:rsid w:val="00824C2C"/>
    <w:rsid w:val="00825BBD"/>
    <w:rsid w:val="00825E11"/>
    <w:rsid w:val="00827530"/>
    <w:rsid w:val="008300DC"/>
    <w:rsid w:val="00830740"/>
    <w:rsid w:val="0083086F"/>
    <w:rsid w:val="00832A69"/>
    <w:rsid w:val="008332C7"/>
    <w:rsid w:val="00833C54"/>
    <w:rsid w:val="00834D66"/>
    <w:rsid w:val="0083647F"/>
    <w:rsid w:val="0083680A"/>
    <w:rsid w:val="00836B69"/>
    <w:rsid w:val="00836ED4"/>
    <w:rsid w:val="00837289"/>
    <w:rsid w:val="00837AB1"/>
    <w:rsid w:val="00840F45"/>
    <w:rsid w:val="00842E38"/>
    <w:rsid w:val="008437E1"/>
    <w:rsid w:val="00844889"/>
    <w:rsid w:val="008456EF"/>
    <w:rsid w:val="00845E19"/>
    <w:rsid w:val="008464CF"/>
    <w:rsid w:val="008509D6"/>
    <w:rsid w:val="008529AA"/>
    <w:rsid w:val="008553DD"/>
    <w:rsid w:val="008567F7"/>
    <w:rsid w:val="00857D80"/>
    <w:rsid w:val="0086215D"/>
    <w:rsid w:val="00863541"/>
    <w:rsid w:val="008644FF"/>
    <w:rsid w:val="00864B77"/>
    <w:rsid w:val="00867C52"/>
    <w:rsid w:val="00871963"/>
    <w:rsid w:val="0087629E"/>
    <w:rsid w:val="008770D9"/>
    <w:rsid w:val="00880914"/>
    <w:rsid w:val="00880C94"/>
    <w:rsid w:val="00880F82"/>
    <w:rsid w:val="008818C4"/>
    <w:rsid w:val="00884122"/>
    <w:rsid w:val="00885A2E"/>
    <w:rsid w:val="00885B2D"/>
    <w:rsid w:val="0088669A"/>
    <w:rsid w:val="00886A67"/>
    <w:rsid w:val="00892764"/>
    <w:rsid w:val="008941AA"/>
    <w:rsid w:val="008947A5"/>
    <w:rsid w:val="00894F52"/>
    <w:rsid w:val="00895C3D"/>
    <w:rsid w:val="00897559"/>
    <w:rsid w:val="008A08F1"/>
    <w:rsid w:val="008A13D3"/>
    <w:rsid w:val="008A1A71"/>
    <w:rsid w:val="008A5686"/>
    <w:rsid w:val="008A5B38"/>
    <w:rsid w:val="008B0F8D"/>
    <w:rsid w:val="008B2B40"/>
    <w:rsid w:val="008B6227"/>
    <w:rsid w:val="008B62FF"/>
    <w:rsid w:val="008C1ECB"/>
    <w:rsid w:val="008C25A8"/>
    <w:rsid w:val="008C38B6"/>
    <w:rsid w:val="008C5256"/>
    <w:rsid w:val="008C66AC"/>
    <w:rsid w:val="008D1B7F"/>
    <w:rsid w:val="008D248C"/>
    <w:rsid w:val="008D38ED"/>
    <w:rsid w:val="008D40B3"/>
    <w:rsid w:val="008D4622"/>
    <w:rsid w:val="008D486E"/>
    <w:rsid w:val="008E0CDE"/>
    <w:rsid w:val="008E1637"/>
    <w:rsid w:val="008E2089"/>
    <w:rsid w:val="008E2364"/>
    <w:rsid w:val="008E4F8E"/>
    <w:rsid w:val="008F0A0B"/>
    <w:rsid w:val="008F1D06"/>
    <w:rsid w:val="008F2946"/>
    <w:rsid w:val="008F51FF"/>
    <w:rsid w:val="008F6370"/>
    <w:rsid w:val="009025B4"/>
    <w:rsid w:val="00903823"/>
    <w:rsid w:val="009039D6"/>
    <w:rsid w:val="00906CDE"/>
    <w:rsid w:val="00907C81"/>
    <w:rsid w:val="0091121B"/>
    <w:rsid w:val="00912AC7"/>
    <w:rsid w:val="00912B61"/>
    <w:rsid w:val="009135AF"/>
    <w:rsid w:val="00915F55"/>
    <w:rsid w:val="00921531"/>
    <w:rsid w:val="00923C12"/>
    <w:rsid w:val="00923DB5"/>
    <w:rsid w:val="00924336"/>
    <w:rsid w:val="009262E9"/>
    <w:rsid w:val="009267B4"/>
    <w:rsid w:val="0092740D"/>
    <w:rsid w:val="00927A6A"/>
    <w:rsid w:val="009313E2"/>
    <w:rsid w:val="00931735"/>
    <w:rsid w:val="009342EB"/>
    <w:rsid w:val="009347BB"/>
    <w:rsid w:val="009366C6"/>
    <w:rsid w:val="00937DD5"/>
    <w:rsid w:val="00937F81"/>
    <w:rsid w:val="009412D3"/>
    <w:rsid w:val="009436A0"/>
    <w:rsid w:val="00944009"/>
    <w:rsid w:val="00944915"/>
    <w:rsid w:val="00944E70"/>
    <w:rsid w:val="009456E9"/>
    <w:rsid w:val="00945F95"/>
    <w:rsid w:val="00947E65"/>
    <w:rsid w:val="00950427"/>
    <w:rsid w:val="0095095D"/>
    <w:rsid w:val="00950EE6"/>
    <w:rsid w:val="009515A5"/>
    <w:rsid w:val="00951744"/>
    <w:rsid w:val="009520A8"/>
    <w:rsid w:val="0095270A"/>
    <w:rsid w:val="00952871"/>
    <w:rsid w:val="00954FA8"/>
    <w:rsid w:val="0095522E"/>
    <w:rsid w:val="00955B83"/>
    <w:rsid w:val="009577E5"/>
    <w:rsid w:val="00962E5D"/>
    <w:rsid w:val="00966683"/>
    <w:rsid w:val="00970381"/>
    <w:rsid w:val="00970A3F"/>
    <w:rsid w:val="00980CC0"/>
    <w:rsid w:val="00981BDE"/>
    <w:rsid w:val="00981DEF"/>
    <w:rsid w:val="00981F94"/>
    <w:rsid w:val="009831BD"/>
    <w:rsid w:val="00984E75"/>
    <w:rsid w:val="00986720"/>
    <w:rsid w:val="0098673F"/>
    <w:rsid w:val="00992274"/>
    <w:rsid w:val="00993DF5"/>
    <w:rsid w:val="00997C81"/>
    <w:rsid w:val="009A06F1"/>
    <w:rsid w:val="009A0790"/>
    <w:rsid w:val="009A211D"/>
    <w:rsid w:val="009A4F20"/>
    <w:rsid w:val="009A7EEA"/>
    <w:rsid w:val="009B1E06"/>
    <w:rsid w:val="009B216F"/>
    <w:rsid w:val="009B2EF0"/>
    <w:rsid w:val="009B4141"/>
    <w:rsid w:val="009B48C2"/>
    <w:rsid w:val="009B58E9"/>
    <w:rsid w:val="009B688D"/>
    <w:rsid w:val="009B7939"/>
    <w:rsid w:val="009C059A"/>
    <w:rsid w:val="009C12D8"/>
    <w:rsid w:val="009C2377"/>
    <w:rsid w:val="009C3532"/>
    <w:rsid w:val="009C3B32"/>
    <w:rsid w:val="009C6CAA"/>
    <w:rsid w:val="009D0962"/>
    <w:rsid w:val="009D21CE"/>
    <w:rsid w:val="009D3316"/>
    <w:rsid w:val="009D339A"/>
    <w:rsid w:val="009D39F4"/>
    <w:rsid w:val="009D48CE"/>
    <w:rsid w:val="009D5730"/>
    <w:rsid w:val="009D5B00"/>
    <w:rsid w:val="009D601C"/>
    <w:rsid w:val="009E0452"/>
    <w:rsid w:val="009E11ED"/>
    <w:rsid w:val="009E1B2B"/>
    <w:rsid w:val="009E3A21"/>
    <w:rsid w:val="009E4842"/>
    <w:rsid w:val="009E5403"/>
    <w:rsid w:val="009E59BD"/>
    <w:rsid w:val="009E737F"/>
    <w:rsid w:val="009F011F"/>
    <w:rsid w:val="009F077A"/>
    <w:rsid w:val="009F08F9"/>
    <w:rsid w:val="009F1135"/>
    <w:rsid w:val="009F1BF5"/>
    <w:rsid w:val="009F6040"/>
    <w:rsid w:val="009F7C26"/>
    <w:rsid w:val="00A0014D"/>
    <w:rsid w:val="00A01319"/>
    <w:rsid w:val="00A044B6"/>
    <w:rsid w:val="00A05A79"/>
    <w:rsid w:val="00A05F60"/>
    <w:rsid w:val="00A06E06"/>
    <w:rsid w:val="00A132F2"/>
    <w:rsid w:val="00A163C2"/>
    <w:rsid w:val="00A16C4D"/>
    <w:rsid w:val="00A171B7"/>
    <w:rsid w:val="00A20B75"/>
    <w:rsid w:val="00A21074"/>
    <w:rsid w:val="00A22C53"/>
    <w:rsid w:val="00A22C67"/>
    <w:rsid w:val="00A25530"/>
    <w:rsid w:val="00A25C8D"/>
    <w:rsid w:val="00A27DBC"/>
    <w:rsid w:val="00A30B09"/>
    <w:rsid w:val="00A36328"/>
    <w:rsid w:val="00A377D6"/>
    <w:rsid w:val="00A37DBE"/>
    <w:rsid w:val="00A4033B"/>
    <w:rsid w:val="00A40620"/>
    <w:rsid w:val="00A40F68"/>
    <w:rsid w:val="00A43A56"/>
    <w:rsid w:val="00A4479E"/>
    <w:rsid w:val="00A46BB2"/>
    <w:rsid w:val="00A46E5D"/>
    <w:rsid w:val="00A47597"/>
    <w:rsid w:val="00A47B18"/>
    <w:rsid w:val="00A50417"/>
    <w:rsid w:val="00A50CB9"/>
    <w:rsid w:val="00A52811"/>
    <w:rsid w:val="00A538BD"/>
    <w:rsid w:val="00A54435"/>
    <w:rsid w:val="00A60F70"/>
    <w:rsid w:val="00A611F3"/>
    <w:rsid w:val="00A61606"/>
    <w:rsid w:val="00A62B66"/>
    <w:rsid w:val="00A636F2"/>
    <w:rsid w:val="00A673DB"/>
    <w:rsid w:val="00A70127"/>
    <w:rsid w:val="00A701FE"/>
    <w:rsid w:val="00A70500"/>
    <w:rsid w:val="00A71A69"/>
    <w:rsid w:val="00A751CE"/>
    <w:rsid w:val="00A758F3"/>
    <w:rsid w:val="00A7753C"/>
    <w:rsid w:val="00A779B5"/>
    <w:rsid w:val="00A77AE2"/>
    <w:rsid w:val="00A80044"/>
    <w:rsid w:val="00A806C1"/>
    <w:rsid w:val="00A808D6"/>
    <w:rsid w:val="00A83516"/>
    <w:rsid w:val="00A8445B"/>
    <w:rsid w:val="00A85E13"/>
    <w:rsid w:val="00A90030"/>
    <w:rsid w:val="00A91B5D"/>
    <w:rsid w:val="00A92B9C"/>
    <w:rsid w:val="00A9479F"/>
    <w:rsid w:val="00A96761"/>
    <w:rsid w:val="00A969C6"/>
    <w:rsid w:val="00A97631"/>
    <w:rsid w:val="00A9781C"/>
    <w:rsid w:val="00AA05B0"/>
    <w:rsid w:val="00AA0718"/>
    <w:rsid w:val="00AA09F4"/>
    <w:rsid w:val="00AA0D3E"/>
    <w:rsid w:val="00AA1E96"/>
    <w:rsid w:val="00AA27A5"/>
    <w:rsid w:val="00AA2920"/>
    <w:rsid w:val="00AA2E89"/>
    <w:rsid w:val="00AA30DC"/>
    <w:rsid w:val="00AA430B"/>
    <w:rsid w:val="00AA50E5"/>
    <w:rsid w:val="00AA6199"/>
    <w:rsid w:val="00AA68E1"/>
    <w:rsid w:val="00AB17AE"/>
    <w:rsid w:val="00AB2869"/>
    <w:rsid w:val="00AB57AE"/>
    <w:rsid w:val="00AB63CC"/>
    <w:rsid w:val="00AB7D87"/>
    <w:rsid w:val="00AC0B2A"/>
    <w:rsid w:val="00AC23CD"/>
    <w:rsid w:val="00AC26AA"/>
    <w:rsid w:val="00AC4378"/>
    <w:rsid w:val="00AC4601"/>
    <w:rsid w:val="00AC4C73"/>
    <w:rsid w:val="00AC594D"/>
    <w:rsid w:val="00AC5B59"/>
    <w:rsid w:val="00AC62A7"/>
    <w:rsid w:val="00AC68AC"/>
    <w:rsid w:val="00AC7317"/>
    <w:rsid w:val="00AD0278"/>
    <w:rsid w:val="00AD1655"/>
    <w:rsid w:val="00AD1AFF"/>
    <w:rsid w:val="00AD4D05"/>
    <w:rsid w:val="00AD521D"/>
    <w:rsid w:val="00AD52EC"/>
    <w:rsid w:val="00AD597B"/>
    <w:rsid w:val="00AD6DB7"/>
    <w:rsid w:val="00AD7608"/>
    <w:rsid w:val="00AD7C24"/>
    <w:rsid w:val="00AE1278"/>
    <w:rsid w:val="00AE1D93"/>
    <w:rsid w:val="00AE5330"/>
    <w:rsid w:val="00AE5BED"/>
    <w:rsid w:val="00AE6958"/>
    <w:rsid w:val="00AE6DA1"/>
    <w:rsid w:val="00AE7263"/>
    <w:rsid w:val="00AF0481"/>
    <w:rsid w:val="00AF04CB"/>
    <w:rsid w:val="00AF281E"/>
    <w:rsid w:val="00AF2933"/>
    <w:rsid w:val="00AF2BAB"/>
    <w:rsid w:val="00AF2DB8"/>
    <w:rsid w:val="00AF3CC6"/>
    <w:rsid w:val="00AF437B"/>
    <w:rsid w:val="00AF45BD"/>
    <w:rsid w:val="00AF75C8"/>
    <w:rsid w:val="00AF78AD"/>
    <w:rsid w:val="00B002F4"/>
    <w:rsid w:val="00B006E3"/>
    <w:rsid w:val="00B00AA4"/>
    <w:rsid w:val="00B01574"/>
    <w:rsid w:val="00B01BEB"/>
    <w:rsid w:val="00B01D1C"/>
    <w:rsid w:val="00B01F8F"/>
    <w:rsid w:val="00B02940"/>
    <w:rsid w:val="00B02F81"/>
    <w:rsid w:val="00B0392D"/>
    <w:rsid w:val="00B060DF"/>
    <w:rsid w:val="00B074BC"/>
    <w:rsid w:val="00B07E59"/>
    <w:rsid w:val="00B118F5"/>
    <w:rsid w:val="00B13AC3"/>
    <w:rsid w:val="00B150F1"/>
    <w:rsid w:val="00B20C89"/>
    <w:rsid w:val="00B23343"/>
    <w:rsid w:val="00B23617"/>
    <w:rsid w:val="00B23642"/>
    <w:rsid w:val="00B24624"/>
    <w:rsid w:val="00B25924"/>
    <w:rsid w:val="00B27269"/>
    <w:rsid w:val="00B30016"/>
    <w:rsid w:val="00B30F11"/>
    <w:rsid w:val="00B31B83"/>
    <w:rsid w:val="00B32C4C"/>
    <w:rsid w:val="00B341DF"/>
    <w:rsid w:val="00B344D8"/>
    <w:rsid w:val="00B3486E"/>
    <w:rsid w:val="00B357AB"/>
    <w:rsid w:val="00B35B1B"/>
    <w:rsid w:val="00B43902"/>
    <w:rsid w:val="00B44C05"/>
    <w:rsid w:val="00B45592"/>
    <w:rsid w:val="00B46054"/>
    <w:rsid w:val="00B46222"/>
    <w:rsid w:val="00B475A9"/>
    <w:rsid w:val="00B47AEC"/>
    <w:rsid w:val="00B50D9D"/>
    <w:rsid w:val="00B50F44"/>
    <w:rsid w:val="00B52165"/>
    <w:rsid w:val="00B53E7A"/>
    <w:rsid w:val="00B54376"/>
    <w:rsid w:val="00B5530F"/>
    <w:rsid w:val="00B55B7A"/>
    <w:rsid w:val="00B55CCA"/>
    <w:rsid w:val="00B603FC"/>
    <w:rsid w:val="00B60F32"/>
    <w:rsid w:val="00B62EB8"/>
    <w:rsid w:val="00B632C4"/>
    <w:rsid w:val="00B65A74"/>
    <w:rsid w:val="00B7072B"/>
    <w:rsid w:val="00B7129E"/>
    <w:rsid w:val="00B73F94"/>
    <w:rsid w:val="00B74414"/>
    <w:rsid w:val="00B74D75"/>
    <w:rsid w:val="00B76F48"/>
    <w:rsid w:val="00B80376"/>
    <w:rsid w:val="00B80B63"/>
    <w:rsid w:val="00B8177E"/>
    <w:rsid w:val="00B831EE"/>
    <w:rsid w:val="00B84794"/>
    <w:rsid w:val="00B849F3"/>
    <w:rsid w:val="00B8661B"/>
    <w:rsid w:val="00B86D47"/>
    <w:rsid w:val="00B92770"/>
    <w:rsid w:val="00B933A2"/>
    <w:rsid w:val="00B93F62"/>
    <w:rsid w:val="00B9435E"/>
    <w:rsid w:val="00B94FD6"/>
    <w:rsid w:val="00B952AA"/>
    <w:rsid w:val="00B968FF"/>
    <w:rsid w:val="00B97B2C"/>
    <w:rsid w:val="00BA1370"/>
    <w:rsid w:val="00BA1396"/>
    <w:rsid w:val="00BA1A63"/>
    <w:rsid w:val="00BA331B"/>
    <w:rsid w:val="00BA5120"/>
    <w:rsid w:val="00BB04F9"/>
    <w:rsid w:val="00BB3689"/>
    <w:rsid w:val="00BB7835"/>
    <w:rsid w:val="00BC39E2"/>
    <w:rsid w:val="00BC5AC2"/>
    <w:rsid w:val="00BC66B6"/>
    <w:rsid w:val="00BC79DD"/>
    <w:rsid w:val="00BD0CD2"/>
    <w:rsid w:val="00BD21FE"/>
    <w:rsid w:val="00BD2DF3"/>
    <w:rsid w:val="00BD4D7E"/>
    <w:rsid w:val="00BD6361"/>
    <w:rsid w:val="00BD73F7"/>
    <w:rsid w:val="00BE05CD"/>
    <w:rsid w:val="00BE0BA4"/>
    <w:rsid w:val="00BE3688"/>
    <w:rsid w:val="00BE3949"/>
    <w:rsid w:val="00BE4767"/>
    <w:rsid w:val="00BE4E75"/>
    <w:rsid w:val="00BE5228"/>
    <w:rsid w:val="00BE6D43"/>
    <w:rsid w:val="00BE7D14"/>
    <w:rsid w:val="00BF0C6A"/>
    <w:rsid w:val="00BF2A88"/>
    <w:rsid w:val="00BF2C02"/>
    <w:rsid w:val="00BF4073"/>
    <w:rsid w:val="00BF5C79"/>
    <w:rsid w:val="00BF660F"/>
    <w:rsid w:val="00BF682B"/>
    <w:rsid w:val="00BF7CF1"/>
    <w:rsid w:val="00C0054D"/>
    <w:rsid w:val="00C02453"/>
    <w:rsid w:val="00C02B96"/>
    <w:rsid w:val="00C04052"/>
    <w:rsid w:val="00C04348"/>
    <w:rsid w:val="00C05F7C"/>
    <w:rsid w:val="00C11541"/>
    <w:rsid w:val="00C12396"/>
    <w:rsid w:val="00C1295C"/>
    <w:rsid w:val="00C139FA"/>
    <w:rsid w:val="00C2043B"/>
    <w:rsid w:val="00C22D3F"/>
    <w:rsid w:val="00C237E4"/>
    <w:rsid w:val="00C24202"/>
    <w:rsid w:val="00C24C49"/>
    <w:rsid w:val="00C25F18"/>
    <w:rsid w:val="00C27096"/>
    <w:rsid w:val="00C271FE"/>
    <w:rsid w:val="00C279BC"/>
    <w:rsid w:val="00C30262"/>
    <w:rsid w:val="00C317E0"/>
    <w:rsid w:val="00C32304"/>
    <w:rsid w:val="00C32827"/>
    <w:rsid w:val="00C356A3"/>
    <w:rsid w:val="00C364C2"/>
    <w:rsid w:val="00C364CF"/>
    <w:rsid w:val="00C4088D"/>
    <w:rsid w:val="00C4326F"/>
    <w:rsid w:val="00C43456"/>
    <w:rsid w:val="00C439B2"/>
    <w:rsid w:val="00C44864"/>
    <w:rsid w:val="00C44DFB"/>
    <w:rsid w:val="00C46740"/>
    <w:rsid w:val="00C46AAB"/>
    <w:rsid w:val="00C47E3F"/>
    <w:rsid w:val="00C50FDC"/>
    <w:rsid w:val="00C51222"/>
    <w:rsid w:val="00C51D0B"/>
    <w:rsid w:val="00C52776"/>
    <w:rsid w:val="00C53B5D"/>
    <w:rsid w:val="00C5590A"/>
    <w:rsid w:val="00C55FF1"/>
    <w:rsid w:val="00C561DF"/>
    <w:rsid w:val="00C575A3"/>
    <w:rsid w:val="00C57EB0"/>
    <w:rsid w:val="00C6209F"/>
    <w:rsid w:val="00C62335"/>
    <w:rsid w:val="00C64E8F"/>
    <w:rsid w:val="00C72915"/>
    <w:rsid w:val="00C73CD2"/>
    <w:rsid w:val="00C74B0E"/>
    <w:rsid w:val="00C74EC9"/>
    <w:rsid w:val="00C80046"/>
    <w:rsid w:val="00C827D3"/>
    <w:rsid w:val="00C869C5"/>
    <w:rsid w:val="00C86F80"/>
    <w:rsid w:val="00C91B4D"/>
    <w:rsid w:val="00C9208E"/>
    <w:rsid w:val="00C9296C"/>
    <w:rsid w:val="00C934A2"/>
    <w:rsid w:val="00C9482B"/>
    <w:rsid w:val="00C9756F"/>
    <w:rsid w:val="00C97A2E"/>
    <w:rsid w:val="00CA14F2"/>
    <w:rsid w:val="00CA1EB2"/>
    <w:rsid w:val="00CA51F1"/>
    <w:rsid w:val="00CA5B8E"/>
    <w:rsid w:val="00CA676B"/>
    <w:rsid w:val="00CB0B5E"/>
    <w:rsid w:val="00CB18C3"/>
    <w:rsid w:val="00CB1EB9"/>
    <w:rsid w:val="00CB2947"/>
    <w:rsid w:val="00CB400C"/>
    <w:rsid w:val="00CB4B76"/>
    <w:rsid w:val="00CC11A9"/>
    <w:rsid w:val="00CC17D4"/>
    <w:rsid w:val="00CC28FF"/>
    <w:rsid w:val="00CC378C"/>
    <w:rsid w:val="00CC3B25"/>
    <w:rsid w:val="00CC505F"/>
    <w:rsid w:val="00CC5445"/>
    <w:rsid w:val="00CC6F75"/>
    <w:rsid w:val="00CC7E09"/>
    <w:rsid w:val="00CC7EB6"/>
    <w:rsid w:val="00CD18A2"/>
    <w:rsid w:val="00CD3DE8"/>
    <w:rsid w:val="00CD48C1"/>
    <w:rsid w:val="00CD50D2"/>
    <w:rsid w:val="00CD512A"/>
    <w:rsid w:val="00CD5290"/>
    <w:rsid w:val="00CD533B"/>
    <w:rsid w:val="00CD56C4"/>
    <w:rsid w:val="00CD58A7"/>
    <w:rsid w:val="00CD5F1C"/>
    <w:rsid w:val="00CD750E"/>
    <w:rsid w:val="00CE3235"/>
    <w:rsid w:val="00CE5CA9"/>
    <w:rsid w:val="00CE7020"/>
    <w:rsid w:val="00CE725C"/>
    <w:rsid w:val="00CE7592"/>
    <w:rsid w:val="00CF112C"/>
    <w:rsid w:val="00CF12C1"/>
    <w:rsid w:val="00CF1D7B"/>
    <w:rsid w:val="00CF1DF2"/>
    <w:rsid w:val="00CF1E57"/>
    <w:rsid w:val="00CF3C14"/>
    <w:rsid w:val="00CF400C"/>
    <w:rsid w:val="00CF517C"/>
    <w:rsid w:val="00CF5900"/>
    <w:rsid w:val="00D004B8"/>
    <w:rsid w:val="00D035F2"/>
    <w:rsid w:val="00D04B85"/>
    <w:rsid w:val="00D05A7F"/>
    <w:rsid w:val="00D06F6A"/>
    <w:rsid w:val="00D07621"/>
    <w:rsid w:val="00D116E3"/>
    <w:rsid w:val="00D11D2B"/>
    <w:rsid w:val="00D11D37"/>
    <w:rsid w:val="00D11DB9"/>
    <w:rsid w:val="00D13AD2"/>
    <w:rsid w:val="00D14BBD"/>
    <w:rsid w:val="00D16742"/>
    <w:rsid w:val="00D20EDB"/>
    <w:rsid w:val="00D22231"/>
    <w:rsid w:val="00D22B4B"/>
    <w:rsid w:val="00D230BD"/>
    <w:rsid w:val="00D24566"/>
    <w:rsid w:val="00D25612"/>
    <w:rsid w:val="00D269FB"/>
    <w:rsid w:val="00D275AC"/>
    <w:rsid w:val="00D310F8"/>
    <w:rsid w:val="00D31835"/>
    <w:rsid w:val="00D32359"/>
    <w:rsid w:val="00D33017"/>
    <w:rsid w:val="00D3381D"/>
    <w:rsid w:val="00D341D6"/>
    <w:rsid w:val="00D362ED"/>
    <w:rsid w:val="00D3738A"/>
    <w:rsid w:val="00D37B4B"/>
    <w:rsid w:val="00D40411"/>
    <w:rsid w:val="00D42059"/>
    <w:rsid w:val="00D42770"/>
    <w:rsid w:val="00D47BCF"/>
    <w:rsid w:val="00D51129"/>
    <w:rsid w:val="00D511F6"/>
    <w:rsid w:val="00D51DE5"/>
    <w:rsid w:val="00D53CEE"/>
    <w:rsid w:val="00D54283"/>
    <w:rsid w:val="00D552A5"/>
    <w:rsid w:val="00D55D37"/>
    <w:rsid w:val="00D573E1"/>
    <w:rsid w:val="00D62F87"/>
    <w:rsid w:val="00D64C6E"/>
    <w:rsid w:val="00D67364"/>
    <w:rsid w:val="00D67B7A"/>
    <w:rsid w:val="00D700B1"/>
    <w:rsid w:val="00D70301"/>
    <w:rsid w:val="00D7253E"/>
    <w:rsid w:val="00D7265E"/>
    <w:rsid w:val="00D74309"/>
    <w:rsid w:val="00D774C3"/>
    <w:rsid w:val="00D7786B"/>
    <w:rsid w:val="00D82A7E"/>
    <w:rsid w:val="00D8720E"/>
    <w:rsid w:val="00D87C94"/>
    <w:rsid w:val="00D90817"/>
    <w:rsid w:val="00D922AC"/>
    <w:rsid w:val="00D936C2"/>
    <w:rsid w:val="00D94537"/>
    <w:rsid w:val="00D95425"/>
    <w:rsid w:val="00D95D45"/>
    <w:rsid w:val="00D97BB1"/>
    <w:rsid w:val="00D97DA9"/>
    <w:rsid w:val="00DA1C3E"/>
    <w:rsid w:val="00DA26AC"/>
    <w:rsid w:val="00DA302A"/>
    <w:rsid w:val="00DA5425"/>
    <w:rsid w:val="00DA60F0"/>
    <w:rsid w:val="00DA7A63"/>
    <w:rsid w:val="00DB0DD8"/>
    <w:rsid w:val="00DB10A9"/>
    <w:rsid w:val="00DB2EAD"/>
    <w:rsid w:val="00DB5106"/>
    <w:rsid w:val="00DB7060"/>
    <w:rsid w:val="00DB7B50"/>
    <w:rsid w:val="00DB7C6D"/>
    <w:rsid w:val="00DC1E7B"/>
    <w:rsid w:val="00DC2972"/>
    <w:rsid w:val="00DC4792"/>
    <w:rsid w:val="00DC54B7"/>
    <w:rsid w:val="00DC649B"/>
    <w:rsid w:val="00DC6623"/>
    <w:rsid w:val="00DC6F7F"/>
    <w:rsid w:val="00DC7892"/>
    <w:rsid w:val="00DD0FA3"/>
    <w:rsid w:val="00DD3E35"/>
    <w:rsid w:val="00DD616D"/>
    <w:rsid w:val="00DE0AEE"/>
    <w:rsid w:val="00DE0BC1"/>
    <w:rsid w:val="00DE1AE3"/>
    <w:rsid w:val="00DE635F"/>
    <w:rsid w:val="00DE7A2C"/>
    <w:rsid w:val="00DF2671"/>
    <w:rsid w:val="00DF483B"/>
    <w:rsid w:val="00DF56C9"/>
    <w:rsid w:val="00DF5AB8"/>
    <w:rsid w:val="00DF645B"/>
    <w:rsid w:val="00DF7198"/>
    <w:rsid w:val="00DF71A2"/>
    <w:rsid w:val="00DF7852"/>
    <w:rsid w:val="00E002AD"/>
    <w:rsid w:val="00E0120C"/>
    <w:rsid w:val="00E01346"/>
    <w:rsid w:val="00E03116"/>
    <w:rsid w:val="00E036A6"/>
    <w:rsid w:val="00E042D1"/>
    <w:rsid w:val="00E053C2"/>
    <w:rsid w:val="00E0633B"/>
    <w:rsid w:val="00E0637F"/>
    <w:rsid w:val="00E10D6A"/>
    <w:rsid w:val="00E1108D"/>
    <w:rsid w:val="00E124D8"/>
    <w:rsid w:val="00E17E67"/>
    <w:rsid w:val="00E21D14"/>
    <w:rsid w:val="00E22521"/>
    <w:rsid w:val="00E231AD"/>
    <w:rsid w:val="00E23488"/>
    <w:rsid w:val="00E23805"/>
    <w:rsid w:val="00E24B53"/>
    <w:rsid w:val="00E262D4"/>
    <w:rsid w:val="00E30CF0"/>
    <w:rsid w:val="00E31093"/>
    <w:rsid w:val="00E31B49"/>
    <w:rsid w:val="00E32880"/>
    <w:rsid w:val="00E338F9"/>
    <w:rsid w:val="00E34DB7"/>
    <w:rsid w:val="00E3505A"/>
    <w:rsid w:val="00E35211"/>
    <w:rsid w:val="00E354B6"/>
    <w:rsid w:val="00E358DB"/>
    <w:rsid w:val="00E35F5D"/>
    <w:rsid w:val="00E366EE"/>
    <w:rsid w:val="00E367A3"/>
    <w:rsid w:val="00E40381"/>
    <w:rsid w:val="00E40BC8"/>
    <w:rsid w:val="00E41423"/>
    <w:rsid w:val="00E455CA"/>
    <w:rsid w:val="00E5062E"/>
    <w:rsid w:val="00E50997"/>
    <w:rsid w:val="00E51859"/>
    <w:rsid w:val="00E5226A"/>
    <w:rsid w:val="00E5257C"/>
    <w:rsid w:val="00E549B8"/>
    <w:rsid w:val="00E54E57"/>
    <w:rsid w:val="00E55F3A"/>
    <w:rsid w:val="00E57337"/>
    <w:rsid w:val="00E61626"/>
    <w:rsid w:val="00E61D86"/>
    <w:rsid w:val="00E6233F"/>
    <w:rsid w:val="00E63653"/>
    <w:rsid w:val="00E63C70"/>
    <w:rsid w:val="00E70A09"/>
    <w:rsid w:val="00E70A1F"/>
    <w:rsid w:val="00E70C84"/>
    <w:rsid w:val="00E733B7"/>
    <w:rsid w:val="00E7388F"/>
    <w:rsid w:val="00E73B7A"/>
    <w:rsid w:val="00E74179"/>
    <w:rsid w:val="00E7449C"/>
    <w:rsid w:val="00E7463E"/>
    <w:rsid w:val="00E76401"/>
    <w:rsid w:val="00E770FC"/>
    <w:rsid w:val="00E812D4"/>
    <w:rsid w:val="00E81490"/>
    <w:rsid w:val="00E81B7A"/>
    <w:rsid w:val="00E82802"/>
    <w:rsid w:val="00E82B49"/>
    <w:rsid w:val="00E84880"/>
    <w:rsid w:val="00E93792"/>
    <w:rsid w:val="00E94003"/>
    <w:rsid w:val="00E947D5"/>
    <w:rsid w:val="00E94E85"/>
    <w:rsid w:val="00E950DB"/>
    <w:rsid w:val="00E95993"/>
    <w:rsid w:val="00E96981"/>
    <w:rsid w:val="00E97428"/>
    <w:rsid w:val="00EA06B7"/>
    <w:rsid w:val="00EA07CC"/>
    <w:rsid w:val="00EA10D3"/>
    <w:rsid w:val="00EA5702"/>
    <w:rsid w:val="00EA5E0E"/>
    <w:rsid w:val="00EA63B7"/>
    <w:rsid w:val="00EA64CE"/>
    <w:rsid w:val="00EA7015"/>
    <w:rsid w:val="00EA7CA9"/>
    <w:rsid w:val="00EB0F43"/>
    <w:rsid w:val="00EB1382"/>
    <w:rsid w:val="00EB40F0"/>
    <w:rsid w:val="00EB422B"/>
    <w:rsid w:val="00EB4BED"/>
    <w:rsid w:val="00EB589F"/>
    <w:rsid w:val="00EB7F51"/>
    <w:rsid w:val="00EC104B"/>
    <w:rsid w:val="00EC1611"/>
    <w:rsid w:val="00EC1A0E"/>
    <w:rsid w:val="00EC1DF3"/>
    <w:rsid w:val="00EC2C1B"/>
    <w:rsid w:val="00EC3B48"/>
    <w:rsid w:val="00EC43AD"/>
    <w:rsid w:val="00EC4563"/>
    <w:rsid w:val="00EC456A"/>
    <w:rsid w:val="00EC4F7A"/>
    <w:rsid w:val="00EC52D1"/>
    <w:rsid w:val="00EC577D"/>
    <w:rsid w:val="00EC589C"/>
    <w:rsid w:val="00ED0C84"/>
    <w:rsid w:val="00ED5151"/>
    <w:rsid w:val="00ED6772"/>
    <w:rsid w:val="00ED7A54"/>
    <w:rsid w:val="00ED7CF2"/>
    <w:rsid w:val="00EE3783"/>
    <w:rsid w:val="00EE399D"/>
    <w:rsid w:val="00EE3B3C"/>
    <w:rsid w:val="00EE7EE5"/>
    <w:rsid w:val="00EF03CC"/>
    <w:rsid w:val="00EF0ADD"/>
    <w:rsid w:val="00EF0DCE"/>
    <w:rsid w:val="00EF1188"/>
    <w:rsid w:val="00EF3F31"/>
    <w:rsid w:val="00EF6CF1"/>
    <w:rsid w:val="00F00263"/>
    <w:rsid w:val="00F01E4C"/>
    <w:rsid w:val="00F07EBE"/>
    <w:rsid w:val="00F10D5D"/>
    <w:rsid w:val="00F126E3"/>
    <w:rsid w:val="00F136C6"/>
    <w:rsid w:val="00F141D2"/>
    <w:rsid w:val="00F14664"/>
    <w:rsid w:val="00F15E95"/>
    <w:rsid w:val="00F16673"/>
    <w:rsid w:val="00F16D0E"/>
    <w:rsid w:val="00F20E30"/>
    <w:rsid w:val="00F21EE8"/>
    <w:rsid w:val="00F23DD8"/>
    <w:rsid w:val="00F26CB4"/>
    <w:rsid w:val="00F26D9C"/>
    <w:rsid w:val="00F30851"/>
    <w:rsid w:val="00F33BE3"/>
    <w:rsid w:val="00F3445B"/>
    <w:rsid w:val="00F36E28"/>
    <w:rsid w:val="00F414B9"/>
    <w:rsid w:val="00F422A9"/>
    <w:rsid w:val="00F425E5"/>
    <w:rsid w:val="00F4467C"/>
    <w:rsid w:val="00F447FE"/>
    <w:rsid w:val="00F45B06"/>
    <w:rsid w:val="00F47088"/>
    <w:rsid w:val="00F5360F"/>
    <w:rsid w:val="00F54A01"/>
    <w:rsid w:val="00F552FD"/>
    <w:rsid w:val="00F570DC"/>
    <w:rsid w:val="00F571DB"/>
    <w:rsid w:val="00F60BC9"/>
    <w:rsid w:val="00F6191A"/>
    <w:rsid w:val="00F62E58"/>
    <w:rsid w:val="00F62FA8"/>
    <w:rsid w:val="00F642AE"/>
    <w:rsid w:val="00F6582F"/>
    <w:rsid w:val="00F663A1"/>
    <w:rsid w:val="00F66E4B"/>
    <w:rsid w:val="00F67F43"/>
    <w:rsid w:val="00F72CF7"/>
    <w:rsid w:val="00F7313A"/>
    <w:rsid w:val="00F7369B"/>
    <w:rsid w:val="00F73A6F"/>
    <w:rsid w:val="00F7450F"/>
    <w:rsid w:val="00F75E06"/>
    <w:rsid w:val="00F76939"/>
    <w:rsid w:val="00F76B96"/>
    <w:rsid w:val="00F77A22"/>
    <w:rsid w:val="00F77BF1"/>
    <w:rsid w:val="00F77F19"/>
    <w:rsid w:val="00F83258"/>
    <w:rsid w:val="00F8405A"/>
    <w:rsid w:val="00F86F21"/>
    <w:rsid w:val="00F87801"/>
    <w:rsid w:val="00F87955"/>
    <w:rsid w:val="00F909DE"/>
    <w:rsid w:val="00F92292"/>
    <w:rsid w:val="00F92A65"/>
    <w:rsid w:val="00F92D86"/>
    <w:rsid w:val="00F94CE4"/>
    <w:rsid w:val="00F97662"/>
    <w:rsid w:val="00FA175B"/>
    <w:rsid w:val="00FA23A3"/>
    <w:rsid w:val="00FA248B"/>
    <w:rsid w:val="00FA28E5"/>
    <w:rsid w:val="00FA3453"/>
    <w:rsid w:val="00FA3788"/>
    <w:rsid w:val="00FA38FF"/>
    <w:rsid w:val="00FA49E3"/>
    <w:rsid w:val="00FA5E01"/>
    <w:rsid w:val="00FA7CB3"/>
    <w:rsid w:val="00FB0C54"/>
    <w:rsid w:val="00FB1386"/>
    <w:rsid w:val="00FB196D"/>
    <w:rsid w:val="00FB1CA6"/>
    <w:rsid w:val="00FB594E"/>
    <w:rsid w:val="00FC006E"/>
    <w:rsid w:val="00FC030C"/>
    <w:rsid w:val="00FC045D"/>
    <w:rsid w:val="00FC15B6"/>
    <w:rsid w:val="00FC5B3A"/>
    <w:rsid w:val="00FD0BAE"/>
    <w:rsid w:val="00FD15EA"/>
    <w:rsid w:val="00FD3CD8"/>
    <w:rsid w:val="00FD692C"/>
    <w:rsid w:val="00FD7998"/>
    <w:rsid w:val="00FD7A10"/>
    <w:rsid w:val="00FE2D3C"/>
    <w:rsid w:val="00FE2F9D"/>
    <w:rsid w:val="00FE34B5"/>
    <w:rsid w:val="00FE3951"/>
    <w:rsid w:val="00FE4C12"/>
    <w:rsid w:val="00FF0540"/>
    <w:rsid w:val="00FF3B00"/>
    <w:rsid w:val="00FF3D94"/>
    <w:rsid w:val="00FF43E1"/>
    <w:rsid w:val="00FF4836"/>
    <w:rsid w:val="00FF5219"/>
    <w:rsid w:val="00FF661A"/>
    <w:rsid w:val="00FF6DD4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EB500C6"/>
  <w15:docId w15:val="{E109DA7A-C7BD-4DDF-9536-A255AA3C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CA9"/>
    <w:rPr>
      <w:rFonts w:ascii="CorpoS" w:hAnsi="CorpoS"/>
    </w:rPr>
  </w:style>
  <w:style w:type="paragraph" w:styleId="berschrift1">
    <w:name w:val="heading 1"/>
    <w:basedOn w:val="Standard"/>
    <w:next w:val="Standard"/>
    <w:link w:val="berschrift1Zchn"/>
    <w:qFormat/>
    <w:locked/>
    <w:rsid w:val="004F7DB3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9"/>
    <w:qFormat/>
    <w:rsid w:val="00471D9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71D93"/>
    <w:rPr>
      <w:rFonts w:cs="Times New Roman"/>
      <w:b/>
      <w:bCs/>
      <w:sz w:val="27"/>
      <w:szCs w:val="27"/>
    </w:rPr>
  </w:style>
  <w:style w:type="paragraph" w:customStyle="1" w:styleId="APOAufzaehlung">
    <w:name w:val="APOAufzaehlung"/>
    <w:basedOn w:val="Standard"/>
    <w:uiPriority w:val="99"/>
    <w:rsid w:val="00DF7852"/>
    <w:pPr>
      <w:ind w:left="283" w:hanging="283"/>
    </w:pPr>
  </w:style>
  <w:style w:type="paragraph" w:customStyle="1" w:styleId="APOStandard">
    <w:name w:val="APOStandard"/>
    <w:basedOn w:val="Standard"/>
    <w:uiPriority w:val="99"/>
    <w:rsid w:val="00DF7852"/>
    <w:rPr>
      <w:b/>
    </w:rPr>
  </w:style>
  <w:style w:type="paragraph" w:customStyle="1" w:styleId="APOText10">
    <w:name w:val="APOText10"/>
    <w:basedOn w:val="Standard"/>
    <w:uiPriority w:val="99"/>
    <w:rsid w:val="00DF7852"/>
    <w:rPr>
      <w:sz w:val="20"/>
    </w:rPr>
  </w:style>
  <w:style w:type="paragraph" w:customStyle="1" w:styleId="APOText11">
    <w:name w:val="APOText11"/>
    <w:basedOn w:val="Standard"/>
    <w:uiPriority w:val="99"/>
    <w:rsid w:val="00DF7852"/>
  </w:style>
  <w:style w:type="paragraph" w:customStyle="1" w:styleId="APOText12">
    <w:name w:val="APOText12"/>
    <w:basedOn w:val="Standard"/>
    <w:uiPriority w:val="99"/>
    <w:rsid w:val="00DF7852"/>
    <w:rPr>
      <w:sz w:val="24"/>
    </w:rPr>
  </w:style>
  <w:style w:type="paragraph" w:customStyle="1" w:styleId="APOUeberschrift1">
    <w:name w:val="APOUeberschrift1"/>
    <w:basedOn w:val="Standard"/>
    <w:uiPriority w:val="99"/>
    <w:rsid w:val="00DF7852"/>
    <w:rPr>
      <w:sz w:val="28"/>
    </w:rPr>
  </w:style>
  <w:style w:type="paragraph" w:customStyle="1" w:styleId="APOUeberschrift2">
    <w:name w:val="APOUeberschrift2"/>
    <w:basedOn w:val="Standard"/>
    <w:uiPriority w:val="99"/>
    <w:rsid w:val="00DF7852"/>
    <w:rPr>
      <w:i/>
      <w:sz w:val="24"/>
    </w:rPr>
  </w:style>
  <w:style w:type="paragraph" w:customStyle="1" w:styleId="APOUeberschrift3">
    <w:name w:val="APOUeberschrift3"/>
    <w:basedOn w:val="Standard"/>
    <w:uiPriority w:val="99"/>
    <w:rsid w:val="00DF7852"/>
    <w:rPr>
      <w:i/>
      <w:sz w:val="20"/>
    </w:rPr>
  </w:style>
  <w:style w:type="paragraph" w:customStyle="1" w:styleId="APOVertragstext">
    <w:name w:val="APOVertragstext"/>
    <w:basedOn w:val="Standard"/>
    <w:uiPriority w:val="99"/>
    <w:rsid w:val="00DF7852"/>
    <w:pPr>
      <w:jc w:val="both"/>
    </w:pPr>
    <w:rPr>
      <w:sz w:val="12"/>
    </w:rPr>
  </w:style>
  <w:style w:type="paragraph" w:styleId="Fuzeile">
    <w:name w:val="footer"/>
    <w:basedOn w:val="Standard"/>
    <w:link w:val="FuzeileZchn"/>
    <w:rsid w:val="00DF7852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73B2"/>
    <w:rPr>
      <w:rFonts w:ascii="CorpoS" w:hAnsi="CorpoS" w:cs="Times New Roman"/>
    </w:rPr>
  </w:style>
  <w:style w:type="paragraph" w:styleId="Kopfzeile">
    <w:name w:val="header"/>
    <w:basedOn w:val="Standard"/>
    <w:link w:val="KopfzeileZchn"/>
    <w:uiPriority w:val="99"/>
    <w:rsid w:val="00DF7852"/>
    <w:pPr>
      <w:pBdr>
        <w:bottom w:val="single" w:sz="6" w:space="1" w:color="auto"/>
      </w:pBdr>
      <w:tabs>
        <w:tab w:val="center" w:pos="4536"/>
        <w:tab w:val="left" w:pos="6804"/>
        <w:tab w:val="right" w:pos="9072"/>
      </w:tabs>
      <w:spacing w:after="12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73B2"/>
    <w:rPr>
      <w:rFonts w:ascii="CorpoS" w:hAnsi="CorpoS" w:cs="Times New Roman"/>
    </w:rPr>
  </w:style>
  <w:style w:type="character" w:styleId="Seitenzahl">
    <w:name w:val="page number"/>
    <w:basedOn w:val="Absatz-Standardschriftart"/>
    <w:uiPriority w:val="99"/>
    <w:rsid w:val="00DF785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B3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73B2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0761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B1EE2"/>
    <w:rPr>
      <w:rFonts w:cs="Times New Roman"/>
      <w:color w:val="606420"/>
      <w:u w:val="single"/>
    </w:rPr>
  </w:style>
  <w:style w:type="paragraph" w:customStyle="1" w:styleId="10">
    <w:name w:val="10"/>
    <w:aliases w:val="5/13_Body_Basis (Formate-Standard)"/>
    <w:basedOn w:val="Standard"/>
    <w:uiPriority w:val="99"/>
    <w:rsid w:val="00301D3B"/>
    <w:pPr>
      <w:widowControl w:val="0"/>
      <w:tabs>
        <w:tab w:val="left" w:pos="17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CorporateS-Light" w:hAnsi="CorporateS-Light" w:cs="CorporateS-Light"/>
      <w:color w:val="000000"/>
      <w:spacing w:val="1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rsid w:val="00ED51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473B2"/>
    <w:rPr>
      <w:rFonts w:ascii="CorpoS" w:hAnsi="CorpoS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D5151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99"/>
    <w:rsid w:val="00BD21F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Pa7">
    <w:name w:val="Pa7"/>
    <w:basedOn w:val="Standard"/>
    <w:next w:val="Standard"/>
    <w:uiPriority w:val="99"/>
    <w:rsid w:val="006D3813"/>
    <w:pPr>
      <w:autoSpaceDE w:val="0"/>
      <w:autoSpaceDN w:val="0"/>
      <w:adjustRightInd w:val="0"/>
      <w:spacing w:line="141" w:lineRule="atLeast"/>
    </w:pPr>
    <w:rPr>
      <w:rFonts w:ascii="Corporate S Light" w:hAnsi="Corporate S Light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308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30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1474"/>
    <w:rPr>
      <w:rFonts w:ascii="CorpoS" w:hAnsi="Corpo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30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3B2"/>
    <w:rPr>
      <w:rFonts w:ascii="CorpoS" w:hAnsi="CorpoS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747C5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747C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B594E"/>
    <w:pPr>
      <w:spacing w:after="100" w:afterAutospacing="1" w:line="312" w:lineRule="atLeast"/>
    </w:pPr>
    <w:rPr>
      <w:rFonts w:ascii="Arial" w:hAnsi="Arial" w:cs="Arial"/>
      <w:color w:val="58595B"/>
      <w:sz w:val="13"/>
      <w:szCs w:val="13"/>
    </w:rPr>
  </w:style>
  <w:style w:type="paragraph" w:styleId="berarbeitung">
    <w:name w:val="Revision"/>
    <w:hidden/>
    <w:uiPriority w:val="99"/>
    <w:semiHidden/>
    <w:rsid w:val="00700A9F"/>
    <w:rPr>
      <w:rFonts w:ascii="CorpoS" w:hAnsi="CorpoS"/>
    </w:rPr>
  </w:style>
  <w:style w:type="paragraph" w:styleId="Listenabsatz">
    <w:name w:val="List Paragraph"/>
    <w:basedOn w:val="Standard"/>
    <w:uiPriority w:val="34"/>
    <w:qFormat/>
    <w:rsid w:val="007140A4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F7DB3"/>
    <w:rPr>
      <w:rFonts w:ascii="CorpoS" w:eastAsiaTheme="majorEastAsia" w:hAnsi="CorpoS" w:cstheme="majorBidi"/>
      <w:b/>
      <w:bCs/>
      <w:szCs w:val="28"/>
    </w:rPr>
  </w:style>
  <w:style w:type="table" w:styleId="Tabellenraster">
    <w:name w:val="Table Grid"/>
    <w:basedOn w:val="NormaleTabelle"/>
    <w:locked/>
    <w:rsid w:val="0035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4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bank.de/finanzberich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es.semisch@apoban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sie.kuebitz-whiteley@apobank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BB39-15F9-4A48-917F-65C0707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Hoffmann</dc:creator>
  <cp:lastModifiedBy>Ines Semisch</cp:lastModifiedBy>
  <cp:revision>17</cp:revision>
  <cp:lastPrinted>2018-08-29T09:45:00Z</cp:lastPrinted>
  <dcterms:created xsi:type="dcterms:W3CDTF">2018-08-22T08:40:00Z</dcterms:created>
  <dcterms:modified xsi:type="dcterms:W3CDTF">2018-08-29T09:45:00Z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ährungNormal">
    <vt:lpwstr>EUR</vt:lpwstr>
  </property>
  <property fmtid="{D5CDD505-2E9C-101B-9397-08002B2CF9AE}" pid="3" name="WährungTausend">
    <vt:lpwstr>TEUR</vt:lpwstr>
  </property>
  <property fmtid="{D5CDD505-2E9C-101B-9397-08002B2CF9AE}" pid="4" name="WährungInWorten">
    <vt:lpwstr>Deutsche Mark</vt:lpwstr>
  </property>
  <property fmtid="{D5CDD505-2E9C-101B-9397-08002B2CF9AE}" pid="5" name="NameEmpfänger">
    <vt:lpwstr/>
  </property>
  <property fmtid="{D5CDD505-2E9C-101B-9397-08002B2CF9AE}" pid="6" name="WährungInWort">
    <vt:lpwstr>EURO</vt:lpwstr>
  </property>
  <property fmtid="{D5CDD505-2E9C-101B-9397-08002B2CF9AE}" pid="7" name="DotId">
    <vt:lpwstr>9.0HV</vt:lpwstr>
  </property>
  <property fmtid="{D5CDD505-2E9C-101B-9397-08002B2CF9AE}" pid="8" name="DokumentVorlage">
    <vt:lpwstr>9.0HV.dot</vt:lpwstr>
  </property>
  <property fmtid="{D5CDD505-2E9C-101B-9397-08002B2CF9AE}" pid="9" name="KontoNr">
    <vt:lpwstr> </vt:lpwstr>
  </property>
  <property fmtid="{D5CDD505-2E9C-101B-9397-08002B2CF9AE}" pid="10" name="Filiale">
    <vt:lpwstr/>
  </property>
  <property fmtid="{D5CDD505-2E9C-101B-9397-08002B2CF9AE}" pid="11" name="RelativerSpeicherpfad">
    <vt:lpwstr>\NK\</vt:lpwstr>
  </property>
  <property fmtid="{D5CDD505-2E9C-101B-9397-08002B2CF9AE}" pid="12" name="DateinameVorschlag">
    <vt:lpwstr>Nachname_Fil_Team_20090127_9.0HV_00.doc</vt:lpwstr>
  </property>
  <property fmtid="{D5CDD505-2E9C-101B-9397-08002B2CF9AE}" pid="13" name="DruckEinstellungImDokument">
    <vt:lpwstr>False</vt:lpwstr>
  </property>
  <property fmtid="{D5CDD505-2E9C-101B-9397-08002B2CF9AE}" pid="14" name="StammNr">
    <vt:lpwstr/>
  </property>
  <property fmtid="{D5CDD505-2E9C-101B-9397-08002B2CF9AE}" pid="15" name="Team">
    <vt:lpwstr/>
  </property>
  <property fmtid="{D5CDD505-2E9C-101B-9397-08002B2CF9AE}" pid="16" name="NameEmpfängerDritte">
    <vt:lpwstr/>
  </property>
</Properties>
</file>