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2E" w:rsidRPr="00D336D6" w:rsidRDefault="003013C2" w:rsidP="00923F96">
      <w:pPr>
        <w:ind w:right="707"/>
        <w:rPr>
          <w:rStyle w:val="Fett"/>
          <w:rFonts w:eastAsiaTheme="majorEastAsia"/>
          <w:i/>
        </w:rPr>
      </w:pPr>
      <w:r w:rsidRPr="00D336D6">
        <w:rPr>
          <w:rStyle w:val="Fett"/>
          <w:rFonts w:eastAsiaTheme="majorEastAsia"/>
          <w:u w:val="single"/>
        </w:rPr>
        <w:t>Gebäudeschadstoffe und Innenraumluft</w:t>
      </w:r>
      <w:r w:rsidR="00DA23E7">
        <w:rPr>
          <w:rStyle w:val="Fett"/>
          <w:rFonts w:eastAsiaTheme="majorEastAsia"/>
          <w:u w:val="single"/>
        </w:rPr>
        <w:t xml:space="preserve">, Band </w:t>
      </w:r>
      <w:r w:rsidR="008A1112">
        <w:rPr>
          <w:rStyle w:val="Fett"/>
          <w:rFonts w:eastAsiaTheme="majorEastAsia"/>
          <w:u w:val="single"/>
        </w:rPr>
        <w:t>8</w:t>
      </w:r>
    </w:p>
    <w:p w:rsidR="003013C2" w:rsidRPr="00D336D6" w:rsidRDefault="004B3477" w:rsidP="00923F96">
      <w:pPr>
        <w:ind w:right="707"/>
      </w:pPr>
      <w:r>
        <w:rPr>
          <w:rStyle w:val="Fett"/>
          <w:rFonts w:eastAsiaTheme="majorEastAsia"/>
        </w:rPr>
        <w:t>S</w:t>
      </w:r>
      <w:r w:rsidR="00EB6976">
        <w:rPr>
          <w:rStyle w:val="Fett"/>
          <w:rFonts w:eastAsiaTheme="majorEastAsia"/>
        </w:rPr>
        <w:t>chriftenreihe</w:t>
      </w:r>
      <w:r w:rsidR="003013C2" w:rsidRPr="00D336D6">
        <w:rPr>
          <w:rStyle w:val="Fett"/>
          <w:rFonts w:eastAsiaTheme="majorEastAsia"/>
        </w:rPr>
        <w:t xml:space="preserve"> zum Schutz von Gesundheit und Umwelt bei baulichen Anlagen</w:t>
      </w:r>
      <w:r w:rsidR="003013C2" w:rsidRPr="00D336D6">
        <w:t xml:space="preserve"> </w:t>
      </w:r>
    </w:p>
    <w:p w:rsidR="008A1112" w:rsidRPr="008A1112" w:rsidRDefault="008A1112" w:rsidP="00923F96">
      <w:pPr>
        <w:autoSpaceDE w:val="0"/>
        <w:autoSpaceDN w:val="0"/>
        <w:adjustRightInd w:val="0"/>
        <w:ind w:right="709"/>
        <w:rPr>
          <w:i/>
        </w:rPr>
      </w:pPr>
      <w:r w:rsidRPr="008A1112">
        <w:rPr>
          <w:i/>
        </w:rPr>
        <w:t>Gerüche in Innenräumen</w:t>
      </w:r>
      <w:r>
        <w:rPr>
          <w:i/>
        </w:rPr>
        <w:t>,</w:t>
      </w:r>
      <w:r w:rsidRPr="008A1112">
        <w:rPr>
          <w:i/>
        </w:rPr>
        <w:t xml:space="preserve"> Arbeiten an schadstoffbelasteten Bauwerken</w:t>
      </w:r>
      <w:r>
        <w:rPr>
          <w:i/>
        </w:rPr>
        <w:t>,</w:t>
      </w:r>
      <w:r w:rsidRPr="008A1112">
        <w:rPr>
          <w:i/>
        </w:rPr>
        <w:t xml:space="preserve"> Sachverständige Probenahme am Dach</w:t>
      </w:r>
    </w:p>
    <w:p w:rsidR="00DA23E7" w:rsidRPr="00EB6976" w:rsidRDefault="00DA23E7" w:rsidP="00BD4776">
      <w:pPr>
        <w:ind w:right="707"/>
        <w:rPr>
          <w:i/>
        </w:rPr>
      </w:pPr>
    </w:p>
    <w:tbl>
      <w:tblPr>
        <w:tblW w:w="74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19"/>
      </w:tblGrid>
      <w:tr w:rsidR="00D336D6" w:rsidTr="005927E2">
        <w:trPr>
          <w:trHeight w:val="368"/>
        </w:trPr>
        <w:tc>
          <w:tcPr>
            <w:tcW w:w="1913" w:type="dxa"/>
          </w:tcPr>
          <w:p w:rsidR="00D336D6" w:rsidRDefault="008A1112" w:rsidP="00BD4776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1125855" cy="1593215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9516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D336D6" w:rsidRPr="00D336D6" w:rsidRDefault="00D336D6" w:rsidP="00BD4776">
            <w:pPr>
              <w:ind w:right="707"/>
            </w:pPr>
            <w:r w:rsidRPr="00D336D6">
              <w:t xml:space="preserve">Hrsg.: Dipl.-Ing. Hans-Dieter Bossemeyer, Dr. Lothar </w:t>
            </w:r>
            <w:r w:rsidR="00F429F2">
              <w:t>G</w:t>
            </w:r>
            <w:r w:rsidRPr="00D336D6">
              <w:t>rün</w:t>
            </w:r>
            <w:r w:rsidR="009B34EB">
              <w:t xml:space="preserve">, Dr. </w:t>
            </w:r>
            <w:r w:rsidR="009B34EB" w:rsidRPr="009B34EB">
              <w:rPr>
                <w:bCs/>
              </w:rPr>
              <w:t>Jutta Witten</w:t>
            </w:r>
            <w:r w:rsidR="009B34EB">
              <w:rPr>
                <w:b/>
                <w:bCs/>
              </w:rPr>
              <w:t xml:space="preserve"> </w:t>
            </w:r>
            <w:r w:rsidRPr="00D336D6">
              <w:t>und Dr. Gerd Zwiener.</w:t>
            </w:r>
          </w:p>
          <w:p w:rsidR="005927E2" w:rsidRDefault="005927E2" w:rsidP="00BD4776">
            <w:pPr>
              <w:autoSpaceDE w:val="0"/>
              <w:autoSpaceDN w:val="0"/>
              <w:adjustRightInd w:val="0"/>
              <w:ind w:right="707"/>
            </w:pPr>
          </w:p>
          <w:p w:rsidR="00D336D6" w:rsidRPr="00D336D6" w:rsidRDefault="00430979" w:rsidP="00BD4776">
            <w:pPr>
              <w:autoSpaceDE w:val="0"/>
              <w:autoSpaceDN w:val="0"/>
              <w:adjustRightInd w:val="0"/>
              <w:ind w:right="707"/>
            </w:pPr>
            <w:r>
              <w:t xml:space="preserve">Band </w:t>
            </w:r>
            <w:r w:rsidR="008A1112">
              <w:t>8</w:t>
            </w:r>
            <w:r>
              <w:t>.</w:t>
            </w:r>
            <w:r w:rsidR="00D336D6" w:rsidRPr="00D336D6">
              <w:t xml:space="preserve"> </w:t>
            </w:r>
            <w:r w:rsidR="0046427A">
              <w:t xml:space="preserve">DIN A4. Kartoniert. </w:t>
            </w:r>
            <w:r w:rsidR="00923F96">
              <w:t>52</w:t>
            </w:r>
            <w:r w:rsidR="00D336D6" w:rsidRPr="00D336D6">
              <w:t xml:space="preserve"> Seiten.</w:t>
            </w:r>
          </w:p>
          <w:p w:rsidR="005927E2" w:rsidRDefault="005927E2" w:rsidP="00BD4776">
            <w:pPr>
              <w:autoSpaceDE w:val="0"/>
              <w:autoSpaceDN w:val="0"/>
              <w:adjustRightInd w:val="0"/>
              <w:ind w:right="707"/>
            </w:pPr>
          </w:p>
          <w:p w:rsidR="00D336D6" w:rsidRDefault="006C6B72" w:rsidP="00BD4776">
            <w:pPr>
              <w:autoSpaceDE w:val="0"/>
              <w:autoSpaceDN w:val="0"/>
              <w:adjustRightInd w:val="0"/>
              <w:ind w:right="707"/>
            </w:pPr>
            <w:r>
              <w:t>EURO 55</w:t>
            </w:r>
            <w:r w:rsidR="00D336D6" w:rsidRPr="00D336D6">
              <w:t>,–</w:t>
            </w:r>
          </w:p>
          <w:p w:rsidR="006A0349" w:rsidRPr="00D336D6" w:rsidRDefault="006A0349" w:rsidP="00BD4776">
            <w:pPr>
              <w:autoSpaceDE w:val="0"/>
              <w:autoSpaceDN w:val="0"/>
              <w:adjustRightInd w:val="0"/>
              <w:ind w:right="707"/>
            </w:pPr>
            <w:r>
              <w:t>EURO 45,– Vorzugspreis für Bezieher der Schriftenreihe        im Aktualisierungsservice</w:t>
            </w:r>
            <w:r w:rsidR="008A1112">
              <w:t>.</w:t>
            </w:r>
          </w:p>
          <w:p w:rsidR="005927E2" w:rsidRDefault="005927E2" w:rsidP="00BD4776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</w:p>
          <w:p w:rsidR="00D336D6" w:rsidRPr="005A00E0" w:rsidRDefault="00D336D6" w:rsidP="008A1112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 w:rsidRPr="00D336D6">
              <w:t xml:space="preserve">ISBN </w:t>
            </w:r>
            <w:r w:rsidR="00923F96" w:rsidRPr="00923F96">
              <w:t>978-3-481-03951-6</w:t>
            </w:r>
          </w:p>
        </w:tc>
      </w:tr>
    </w:tbl>
    <w:p w:rsidR="00D336D6" w:rsidRPr="00D336D6" w:rsidRDefault="00D336D6" w:rsidP="00BD4776">
      <w:pPr>
        <w:ind w:right="707"/>
      </w:pPr>
    </w:p>
    <w:p w:rsidR="00D336D6" w:rsidRPr="003C0DF2" w:rsidRDefault="00D336D6" w:rsidP="00BD4776">
      <w:pPr>
        <w:ind w:right="707"/>
      </w:pPr>
      <w:r>
        <w:t>Verlagsgesellschaft Rudolf Müller</w:t>
      </w:r>
      <w:r w:rsidRPr="003C0DF2">
        <w:t xml:space="preserve"> GmbH &amp; Co. KG</w:t>
      </w:r>
    </w:p>
    <w:p w:rsidR="00D336D6" w:rsidRDefault="00D336D6" w:rsidP="00BD4776">
      <w:pPr>
        <w:spacing w:line="240" w:lineRule="auto"/>
        <w:ind w:right="707"/>
      </w:pPr>
      <w:r>
        <w:t>Kundenservice: 65341 Eltville</w:t>
      </w:r>
    </w:p>
    <w:p w:rsidR="00D336D6" w:rsidRDefault="00D336D6" w:rsidP="00BD4776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</w:t>
      </w:r>
      <w:r w:rsidR="00F429F2">
        <w:rPr>
          <w:u w:val="none"/>
        </w:rPr>
        <w:t xml:space="preserve">                               </w:t>
      </w:r>
      <w:r>
        <w:rPr>
          <w:u w:val="none"/>
        </w:rPr>
        <w:t>Telefax: 0</w:t>
      </w:r>
      <w:r w:rsidRPr="00F60BDC">
        <w:rPr>
          <w:u w:val="none"/>
        </w:rPr>
        <w:t>6123 9238-244</w:t>
      </w:r>
    </w:p>
    <w:p w:rsidR="00D336D6" w:rsidRDefault="00D336D6" w:rsidP="00BD4776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9F2">
        <w:rPr>
          <w:u w:val="single"/>
        </w:rPr>
        <w:t xml:space="preserve">           </w:t>
      </w:r>
      <w:r>
        <w:rPr>
          <w:u w:val="single"/>
        </w:rPr>
        <w:t>www.baufachmedien.de</w:t>
      </w:r>
    </w:p>
    <w:p w:rsidR="00D336D6" w:rsidRDefault="00D336D6" w:rsidP="008A1112">
      <w:pPr>
        <w:autoSpaceDE w:val="0"/>
        <w:autoSpaceDN w:val="0"/>
        <w:adjustRightInd w:val="0"/>
        <w:spacing w:line="260" w:lineRule="exact"/>
        <w:ind w:right="709"/>
      </w:pPr>
    </w:p>
    <w:p w:rsidR="008A1112" w:rsidRDefault="008A1112" w:rsidP="008A1112">
      <w:pPr>
        <w:autoSpaceDE w:val="0"/>
        <w:autoSpaceDN w:val="0"/>
        <w:adjustRightInd w:val="0"/>
        <w:spacing w:line="260" w:lineRule="exact"/>
        <w:ind w:right="709"/>
      </w:pPr>
      <w:r w:rsidRPr="00D336D6">
        <w:t xml:space="preserve"> </w:t>
      </w:r>
      <w:r w:rsidR="003013C2" w:rsidRPr="00D336D6">
        <w:t>„Gebäudeschadstoffe und Innenraumluft“  informiert u</w:t>
      </w:r>
      <w:r w:rsidR="00130ADA">
        <w:t xml:space="preserve">mfassend über die Erkennung, </w:t>
      </w:r>
      <w:r w:rsidR="003013C2" w:rsidRPr="00D336D6">
        <w:t>Bewertung</w:t>
      </w:r>
      <w:r w:rsidR="00130ADA">
        <w:t xml:space="preserve">, </w:t>
      </w:r>
      <w:r w:rsidR="00130ADA" w:rsidRPr="003E4B0F">
        <w:t xml:space="preserve">Beseitigung und Vermeidung </w:t>
      </w:r>
      <w:r w:rsidR="003013C2" w:rsidRPr="00D336D6">
        <w:t>von Schadstoffen in Bauteilen und in der Raumluft.</w:t>
      </w:r>
      <w:r w:rsidR="00130ADA">
        <w:t xml:space="preserve"> </w:t>
      </w:r>
      <w:r w:rsidR="003013C2" w:rsidRPr="00D336D6">
        <w:t xml:space="preserve">Die </w:t>
      </w:r>
      <w:r w:rsidR="00D33F63">
        <w:t>Schriftenreihe</w:t>
      </w:r>
      <w:r w:rsidR="003013C2" w:rsidRPr="00D336D6">
        <w:t xml:space="preserve"> zum Schutz von Gesundheit und Umwelt bei baulichen Anlagen erscheint dreimal jährlich und wendet sich primär an Sachverständige, Planer, ausführende Bauunternehmen, Bauämter, Juristen und Bauherren. </w:t>
      </w:r>
    </w:p>
    <w:p w:rsidR="008A1112" w:rsidRDefault="008A1112" w:rsidP="008A1112">
      <w:pPr>
        <w:autoSpaceDE w:val="0"/>
        <w:autoSpaceDN w:val="0"/>
        <w:adjustRightInd w:val="0"/>
        <w:spacing w:line="260" w:lineRule="exact"/>
        <w:ind w:right="709"/>
      </w:pPr>
    </w:p>
    <w:p w:rsidR="003943CF" w:rsidRDefault="00130ADA" w:rsidP="008A1112">
      <w:pPr>
        <w:autoSpaceDE w:val="0"/>
        <w:autoSpaceDN w:val="0"/>
        <w:adjustRightInd w:val="0"/>
        <w:spacing w:line="260" w:lineRule="exact"/>
        <w:ind w:right="709"/>
      </w:pPr>
      <w:r>
        <w:t>Band 8 der Schriftenreihe hat d</w:t>
      </w:r>
      <w:bookmarkStart w:id="0" w:name="_GoBack"/>
      <w:bookmarkEnd w:id="0"/>
      <w:r>
        <w:t>as Thema „</w:t>
      </w:r>
      <w:r w:rsidR="008A1112" w:rsidRPr="003E4B0F">
        <w:t>Gerüche</w:t>
      </w:r>
      <w:r>
        <w:t>“</w:t>
      </w:r>
      <w:r w:rsidR="008A1112" w:rsidRPr="003E4B0F">
        <w:t xml:space="preserve"> als Schwerpunkt. Beispielfälle aus der Sachverständigenpraxis geben einen Überblick über die Vielfalt von Ursachen, Quellen und Sanierungsmöglichkeiten bei Gerüchen im Innenraum. </w:t>
      </w:r>
      <w:r>
        <w:br/>
        <w:t xml:space="preserve">Darüber hinaus </w:t>
      </w:r>
      <w:r w:rsidR="008A1112" w:rsidRPr="003E4B0F">
        <w:t>werden die Checklisten zu Arbeiten an schadstoffbelasteten baulichen und technischen Anlagen, die im Band 7 mit Baustellenvorbereitung und -sicherung ihren Auf</w:t>
      </w:r>
      <w:r w:rsidR="008A1112">
        <w:t>takt hatten, mit dem Teil zur D</w:t>
      </w:r>
      <w:r w:rsidR="008A1112" w:rsidRPr="003E4B0F">
        <w:t>u</w:t>
      </w:r>
      <w:r w:rsidR="008A1112">
        <w:t>r</w:t>
      </w:r>
      <w:r w:rsidR="008A1112" w:rsidRPr="003E4B0F">
        <w:t>chführung der Arbeite</w:t>
      </w:r>
      <w:r w:rsidR="005F7B6C">
        <w:t>n weitergeführt. Ein Beitrag macht die</w:t>
      </w:r>
      <w:r w:rsidR="008A1112" w:rsidRPr="003E4B0F">
        <w:t xml:space="preserve"> Bedeutung der Probenahme von ausg</w:t>
      </w:r>
      <w:r w:rsidR="005F7B6C">
        <w:t xml:space="preserve">ewiesenen Sachverständigen </w:t>
      </w:r>
      <w:r w:rsidR="008A1112" w:rsidRPr="003E4B0F">
        <w:t>am Beispiel des komplexen Bauteils Dach deutlich. Band 8 greift damit aktuelle Themen, die in Fachkreisen teil</w:t>
      </w:r>
      <w:r>
        <w:t>s kontrovers diskutiert werden</w:t>
      </w:r>
      <w:r w:rsidR="005F7B6C">
        <w:t>,</w:t>
      </w:r>
      <w:r>
        <w:t xml:space="preserve"> </w:t>
      </w:r>
      <w:r w:rsidR="008A1112" w:rsidRPr="003E4B0F">
        <w:t xml:space="preserve"> auf, bietet mit den Beispielfällen direkte Nähe zum Sachverständigenalltag und erläutert </w:t>
      </w:r>
      <w:r w:rsidR="005F7B6C">
        <w:t xml:space="preserve">für interessierte Leser </w:t>
      </w:r>
      <w:r w:rsidR="008A1112" w:rsidRPr="003E4B0F">
        <w:t>Einflussfaktoren und Prozesse im Material, die im Zusammenhang mit Störgerüchen bei textilen Bodenbelägen stehen können.</w:t>
      </w:r>
    </w:p>
    <w:p w:rsidR="008A1112" w:rsidRDefault="008A1112" w:rsidP="008A1112">
      <w:pPr>
        <w:autoSpaceDE w:val="0"/>
        <w:autoSpaceDN w:val="0"/>
        <w:adjustRightInd w:val="0"/>
        <w:spacing w:line="260" w:lineRule="exact"/>
        <w:ind w:right="709"/>
      </w:pPr>
    </w:p>
    <w:p w:rsidR="00D76B2E" w:rsidRPr="00D76B2E" w:rsidRDefault="00D815F5" w:rsidP="008A1112">
      <w:pPr>
        <w:spacing w:line="260" w:lineRule="exact"/>
        <w:ind w:right="709"/>
        <w:rPr>
          <w:bCs/>
        </w:rPr>
      </w:pPr>
      <w:r w:rsidRPr="00D76B2E">
        <w:rPr>
          <w:bCs/>
        </w:rPr>
        <w:t xml:space="preserve">Mehr Informationen </w:t>
      </w:r>
      <w:r w:rsidR="00914A2B" w:rsidRPr="00D76B2E">
        <w:rPr>
          <w:bCs/>
        </w:rPr>
        <w:t xml:space="preserve">rund um </w:t>
      </w:r>
      <w:r w:rsidR="00914A2B" w:rsidRPr="00D76B2E">
        <w:t xml:space="preserve">Gebäudeschadstoffe </w:t>
      </w:r>
      <w:r w:rsidR="00D76B2E">
        <w:t xml:space="preserve">gibt es online </w:t>
      </w:r>
      <w:r w:rsidR="00D40FF0" w:rsidRPr="00D76B2E">
        <w:rPr>
          <w:bCs/>
        </w:rPr>
        <w:t xml:space="preserve">unter: </w:t>
      </w:r>
      <w:hyperlink r:id="rId9" w:history="1">
        <w:r w:rsidR="00D76B2E" w:rsidRPr="00D76B2E">
          <w:rPr>
            <w:rStyle w:val="Hyperlink"/>
            <w:bCs/>
            <w:color w:val="auto"/>
            <w:u w:val="none"/>
          </w:rPr>
          <w:t>www.schadstoff-kompass.de</w:t>
        </w:r>
      </w:hyperlink>
      <w:r w:rsidR="00D40FF0" w:rsidRPr="00D336D6">
        <w:rPr>
          <w:bCs/>
        </w:rPr>
        <w:t>.</w:t>
      </w:r>
    </w:p>
    <w:p w:rsidR="00264F8C" w:rsidRDefault="00264F8C" w:rsidP="003943CF">
      <w:pPr>
        <w:spacing w:line="280" w:lineRule="exact"/>
        <w:ind w:right="709"/>
      </w:pPr>
    </w:p>
    <w:p w:rsidR="00533CA2" w:rsidRDefault="005E3FED" w:rsidP="003943CF">
      <w:pPr>
        <w:spacing w:line="280" w:lineRule="exact"/>
        <w:ind w:right="709"/>
      </w:pPr>
      <w:r>
        <w:t>2.</w:t>
      </w:r>
      <w:r w:rsidR="005F7B6C">
        <w:t>113</w:t>
      </w:r>
      <w:r w:rsidR="00264F8C">
        <w:t xml:space="preserve"> </w:t>
      </w:r>
      <w:r w:rsidR="00293D6D">
        <w:t>Z</w:t>
      </w:r>
      <w:r w:rsidR="00533CA2">
        <w:t>e</w:t>
      </w:r>
      <w:r w:rsidR="00293D6D">
        <w:t>ichen/</w:t>
      </w:r>
      <w:r w:rsidR="0057124F">
        <w:t>A</w:t>
      </w:r>
      <w:r>
        <w:t>ugust</w:t>
      </w:r>
      <w:r w:rsidR="0057124F">
        <w:t xml:space="preserve"> 2019</w:t>
      </w:r>
    </w:p>
    <w:p w:rsidR="00BD4776" w:rsidRDefault="00BD4776" w:rsidP="0057124F">
      <w:pPr>
        <w:spacing w:line="260" w:lineRule="exact"/>
        <w:ind w:right="707"/>
      </w:pPr>
    </w:p>
    <w:sectPr w:rsidR="00BD4776" w:rsidSect="00264F8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127" w:left="1134" w:header="652" w:footer="1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C2" w:rsidRDefault="003013C2">
      <w:r>
        <w:separator/>
      </w:r>
    </w:p>
  </w:endnote>
  <w:endnote w:type="continuationSeparator" w:id="0">
    <w:p w:rsidR="003013C2" w:rsidRDefault="0030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C2" w:rsidRDefault="003013C2">
      <w:r>
        <w:separator/>
      </w:r>
    </w:p>
  </w:footnote>
  <w:footnote w:type="continuationSeparator" w:id="0">
    <w:p w:rsidR="003013C2" w:rsidRDefault="0030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3013C2" w:rsidP="00262442">
    <w:pPr>
      <w:pStyle w:val="Kopfzeile"/>
    </w:pPr>
    <w:bookmarkStart w:id="1" w:name="OhneErsteSeite"/>
    <w:r w:rsidRPr="003013C2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130ADA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5F7B6C">
      <w:rPr>
        <w:rStyle w:val="Seitenzahl"/>
        <w:noProof/>
      </w:rPr>
      <w:t>26. Juli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3013C2" w:rsidP="00186F00">
    <w:pPr>
      <w:pStyle w:val="Kopfzeile"/>
      <w:rPr>
        <w:color w:val="FFFFFF" w:themeColor="background1"/>
      </w:rPr>
    </w:pPr>
    <w:bookmarkStart w:id="6" w:name="AusgabeArt"/>
    <w:r w:rsidRPr="003013C2">
      <w:rPr>
        <w:color w:val="FFFFFF"/>
      </w:rPr>
      <w:t>@Ausgabeart@1</w:t>
    </w:r>
    <w:bookmarkEnd w:id="6"/>
  </w:p>
  <w:p w:rsidR="009421DC" w:rsidRPr="00BE7F4E" w:rsidRDefault="003013C2" w:rsidP="009421DC">
    <w:pPr>
      <w:pStyle w:val="Kopfzeile"/>
      <w:rPr>
        <w:color w:val="FFFFFF" w:themeColor="background1"/>
      </w:rPr>
    </w:pPr>
    <w:bookmarkStart w:id="7" w:name="PrintCode1"/>
    <w:r w:rsidRPr="003013C2">
      <w:rPr>
        <w:color w:val="FFFFFF"/>
      </w:rPr>
      <w:t>@ErsteSeite@1025</w:t>
    </w:r>
    <w:bookmarkEnd w:id="7"/>
  </w:p>
  <w:p w:rsidR="00CD641C" w:rsidRPr="00BE7F4E" w:rsidRDefault="003013C2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3013C2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34"/>
    <w:multiLevelType w:val="multilevel"/>
    <w:tmpl w:val="7B6C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19FA"/>
    <w:multiLevelType w:val="multilevel"/>
    <w:tmpl w:val="862C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163D0"/>
    <w:multiLevelType w:val="multilevel"/>
    <w:tmpl w:val="E9DC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D76C8"/>
    <w:multiLevelType w:val="multilevel"/>
    <w:tmpl w:val="32E4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2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73A06"/>
    <w:rsid w:val="00084546"/>
    <w:rsid w:val="00087E2C"/>
    <w:rsid w:val="00092ADE"/>
    <w:rsid w:val="0009794B"/>
    <w:rsid w:val="000A1847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0E97"/>
    <w:rsid w:val="00115E63"/>
    <w:rsid w:val="00126C4F"/>
    <w:rsid w:val="0012797F"/>
    <w:rsid w:val="00130ADA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2D68"/>
    <w:rsid w:val="001D508E"/>
    <w:rsid w:val="001E0B69"/>
    <w:rsid w:val="001E3055"/>
    <w:rsid w:val="001F3D8B"/>
    <w:rsid w:val="001F3EC3"/>
    <w:rsid w:val="001F57F2"/>
    <w:rsid w:val="00204574"/>
    <w:rsid w:val="00212397"/>
    <w:rsid w:val="0021464A"/>
    <w:rsid w:val="002260EE"/>
    <w:rsid w:val="00251F97"/>
    <w:rsid w:val="0025473B"/>
    <w:rsid w:val="002549E0"/>
    <w:rsid w:val="00261F26"/>
    <w:rsid w:val="00262442"/>
    <w:rsid w:val="0026383B"/>
    <w:rsid w:val="00264F8C"/>
    <w:rsid w:val="00274A2A"/>
    <w:rsid w:val="00282A8B"/>
    <w:rsid w:val="0028776C"/>
    <w:rsid w:val="00293D6D"/>
    <w:rsid w:val="00294D58"/>
    <w:rsid w:val="002A2685"/>
    <w:rsid w:val="002A57F1"/>
    <w:rsid w:val="002B07BB"/>
    <w:rsid w:val="002B6868"/>
    <w:rsid w:val="002B7B7E"/>
    <w:rsid w:val="002C6314"/>
    <w:rsid w:val="002D1691"/>
    <w:rsid w:val="002E533C"/>
    <w:rsid w:val="002E6313"/>
    <w:rsid w:val="003013C2"/>
    <w:rsid w:val="00306B8D"/>
    <w:rsid w:val="00310D69"/>
    <w:rsid w:val="00312689"/>
    <w:rsid w:val="00346DAC"/>
    <w:rsid w:val="00352BFC"/>
    <w:rsid w:val="00354AA1"/>
    <w:rsid w:val="003565A6"/>
    <w:rsid w:val="003640FE"/>
    <w:rsid w:val="00367D33"/>
    <w:rsid w:val="00375158"/>
    <w:rsid w:val="00376AC3"/>
    <w:rsid w:val="00393947"/>
    <w:rsid w:val="00394229"/>
    <w:rsid w:val="003943CF"/>
    <w:rsid w:val="003A5068"/>
    <w:rsid w:val="003A5F95"/>
    <w:rsid w:val="003A773F"/>
    <w:rsid w:val="003B7E83"/>
    <w:rsid w:val="003C1F13"/>
    <w:rsid w:val="003C374B"/>
    <w:rsid w:val="003C6890"/>
    <w:rsid w:val="003D4146"/>
    <w:rsid w:val="003D7740"/>
    <w:rsid w:val="003F2F81"/>
    <w:rsid w:val="00412F17"/>
    <w:rsid w:val="0042793A"/>
    <w:rsid w:val="00430979"/>
    <w:rsid w:val="0046427A"/>
    <w:rsid w:val="00475607"/>
    <w:rsid w:val="004B11E1"/>
    <w:rsid w:val="004B3477"/>
    <w:rsid w:val="004C0EF8"/>
    <w:rsid w:val="004C78B1"/>
    <w:rsid w:val="004D0735"/>
    <w:rsid w:val="004D1764"/>
    <w:rsid w:val="004E05E6"/>
    <w:rsid w:val="004E408A"/>
    <w:rsid w:val="00504DB5"/>
    <w:rsid w:val="00506FD3"/>
    <w:rsid w:val="00517005"/>
    <w:rsid w:val="005200E5"/>
    <w:rsid w:val="00533CA2"/>
    <w:rsid w:val="00535E14"/>
    <w:rsid w:val="005469B0"/>
    <w:rsid w:val="00547163"/>
    <w:rsid w:val="00550631"/>
    <w:rsid w:val="00556A61"/>
    <w:rsid w:val="00567576"/>
    <w:rsid w:val="00570498"/>
    <w:rsid w:val="00570B26"/>
    <w:rsid w:val="0057124F"/>
    <w:rsid w:val="005747B8"/>
    <w:rsid w:val="005826E2"/>
    <w:rsid w:val="005927E2"/>
    <w:rsid w:val="005A54E5"/>
    <w:rsid w:val="005A7821"/>
    <w:rsid w:val="005B6D71"/>
    <w:rsid w:val="005B7AEB"/>
    <w:rsid w:val="005C1A82"/>
    <w:rsid w:val="005D1F20"/>
    <w:rsid w:val="005D2DFD"/>
    <w:rsid w:val="005E3FED"/>
    <w:rsid w:val="005E7823"/>
    <w:rsid w:val="005F7B6C"/>
    <w:rsid w:val="00605068"/>
    <w:rsid w:val="006068D8"/>
    <w:rsid w:val="00621DEC"/>
    <w:rsid w:val="00635601"/>
    <w:rsid w:val="0065651E"/>
    <w:rsid w:val="00670744"/>
    <w:rsid w:val="00672395"/>
    <w:rsid w:val="0068297B"/>
    <w:rsid w:val="0068625E"/>
    <w:rsid w:val="006A0349"/>
    <w:rsid w:val="006C22BC"/>
    <w:rsid w:val="006C503C"/>
    <w:rsid w:val="006C6B72"/>
    <w:rsid w:val="006D2467"/>
    <w:rsid w:val="006D24BD"/>
    <w:rsid w:val="006E0CB3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5719"/>
    <w:rsid w:val="007F65D2"/>
    <w:rsid w:val="008139B9"/>
    <w:rsid w:val="0082344B"/>
    <w:rsid w:val="0084341A"/>
    <w:rsid w:val="00874FB7"/>
    <w:rsid w:val="008A1112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14A2B"/>
    <w:rsid w:val="00923F96"/>
    <w:rsid w:val="00924636"/>
    <w:rsid w:val="00936AB5"/>
    <w:rsid w:val="00941441"/>
    <w:rsid w:val="009421DC"/>
    <w:rsid w:val="0094737D"/>
    <w:rsid w:val="00947FE8"/>
    <w:rsid w:val="0095159B"/>
    <w:rsid w:val="0095277E"/>
    <w:rsid w:val="009536DA"/>
    <w:rsid w:val="009579AB"/>
    <w:rsid w:val="00970777"/>
    <w:rsid w:val="0098084E"/>
    <w:rsid w:val="009B0028"/>
    <w:rsid w:val="009B34EB"/>
    <w:rsid w:val="009B7A7A"/>
    <w:rsid w:val="009D4F57"/>
    <w:rsid w:val="009E5159"/>
    <w:rsid w:val="009F5707"/>
    <w:rsid w:val="009F6D87"/>
    <w:rsid w:val="00A00651"/>
    <w:rsid w:val="00A26270"/>
    <w:rsid w:val="00A352BE"/>
    <w:rsid w:val="00A5354D"/>
    <w:rsid w:val="00A537C1"/>
    <w:rsid w:val="00A57ACA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51789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4776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E7F9E"/>
    <w:rsid w:val="00CF2169"/>
    <w:rsid w:val="00D04046"/>
    <w:rsid w:val="00D30700"/>
    <w:rsid w:val="00D336D6"/>
    <w:rsid w:val="00D33F63"/>
    <w:rsid w:val="00D40FF0"/>
    <w:rsid w:val="00D4162E"/>
    <w:rsid w:val="00D54509"/>
    <w:rsid w:val="00D65240"/>
    <w:rsid w:val="00D71C09"/>
    <w:rsid w:val="00D76B2E"/>
    <w:rsid w:val="00D815F5"/>
    <w:rsid w:val="00D87882"/>
    <w:rsid w:val="00D91E06"/>
    <w:rsid w:val="00D9705A"/>
    <w:rsid w:val="00DA1F23"/>
    <w:rsid w:val="00DA23E7"/>
    <w:rsid w:val="00DA3741"/>
    <w:rsid w:val="00DA7952"/>
    <w:rsid w:val="00DB3F70"/>
    <w:rsid w:val="00DE736D"/>
    <w:rsid w:val="00E01D72"/>
    <w:rsid w:val="00E065BF"/>
    <w:rsid w:val="00E1611B"/>
    <w:rsid w:val="00E209CD"/>
    <w:rsid w:val="00E34D0E"/>
    <w:rsid w:val="00E35216"/>
    <w:rsid w:val="00E405DD"/>
    <w:rsid w:val="00E5370C"/>
    <w:rsid w:val="00E570A1"/>
    <w:rsid w:val="00E603C0"/>
    <w:rsid w:val="00E6122A"/>
    <w:rsid w:val="00E718BA"/>
    <w:rsid w:val="00E73CF5"/>
    <w:rsid w:val="00E8337F"/>
    <w:rsid w:val="00E945C1"/>
    <w:rsid w:val="00EA0738"/>
    <w:rsid w:val="00EA60B5"/>
    <w:rsid w:val="00EB6976"/>
    <w:rsid w:val="00EC252C"/>
    <w:rsid w:val="00EC55F2"/>
    <w:rsid w:val="00ED1C78"/>
    <w:rsid w:val="00ED2317"/>
    <w:rsid w:val="00ED4D1B"/>
    <w:rsid w:val="00EE3951"/>
    <w:rsid w:val="00EE3FF9"/>
    <w:rsid w:val="00EE4368"/>
    <w:rsid w:val="00F04D6D"/>
    <w:rsid w:val="00F258B1"/>
    <w:rsid w:val="00F36B5F"/>
    <w:rsid w:val="00F429F2"/>
    <w:rsid w:val="00F461FE"/>
    <w:rsid w:val="00F5512D"/>
    <w:rsid w:val="00F62CF1"/>
    <w:rsid w:val="00F97618"/>
    <w:rsid w:val="00FA5B5E"/>
    <w:rsid w:val="00FA6173"/>
    <w:rsid w:val="00FA6B47"/>
    <w:rsid w:val="00FB06C0"/>
    <w:rsid w:val="00FC2425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C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013C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013C2"/>
    <w:rPr>
      <w:u w:val="single"/>
    </w:rPr>
  </w:style>
  <w:style w:type="character" w:styleId="Fett">
    <w:name w:val="Strong"/>
    <w:basedOn w:val="Absatz-Standardschriftart"/>
    <w:uiPriority w:val="22"/>
    <w:qFormat/>
    <w:rsid w:val="003013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536D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C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013C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013C2"/>
    <w:rPr>
      <w:u w:val="single"/>
    </w:rPr>
  </w:style>
  <w:style w:type="character" w:styleId="Fett">
    <w:name w:val="Strong"/>
    <w:basedOn w:val="Absatz-Standardschriftart"/>
    <w:uiPriority w:val="22"/>
    <w:qFormat/>
    <w:rsid w:val="003013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536D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adstoff-kompass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258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2018-04-24T13:21:00Z</cp:lastPrinted>
  <dcterms:created xsi:type="dcterms:W3CDTF">2019-07-26T09:55:00Z</dcterms:created>
  <dcterms:modified xsi:type="dcterms:W3CDTF">2019-07-26T09:55:00Z</dcterms:modified>
</cp:coreProperties>
</file>