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C969" w14:textId="65711011" w:rsidR="00480782" w:rsidRPr="000530E3" w:rsidRDefault="00093D03">
      <w:pPr>
        <w:rPr>
          <w:b/>
          <w:bCs/>
          <w:sz w:val="28"/>
          <w:szCs w:val="28"/>
        </w:rPr>
      </w:pPr>
      <w:r w:rsidRPr="000300AA">
        <w:rPr>
          <w:b/>
          <w:bCs/>
          <w:sz w:val="28"/>
          <w:szCs w:val="28"/>
        </w:rPr>
        <w:t>Bruken av antibiotika går raskt nedover</w:t>
      </w:r>
      <w:r w:rsidR="3E3863C8" w:rsidRPr="000300AA">
        <w:rPr>
          <w:b/>
          <w:bCs/>
          <w:sz w:val="28"/>
          <w:szCs w:val="28"/>
        </w:rPr>
        <w:t xml:space="preserve"> - myndighetenes mål kan nås</w:t>
      </w:r>
      <w:r w:rsidR="00AF6619">
        <w:rPr>
          <w:b/>
          <w:sz w:val="28"/>
          <w:szCs w:val="28"/>
        </w:rPr>
        <w:tab/>
      </w:r>
    </w:p>
    <w:p w14:paraId="7D93A0D3" w14:textId="0B18EB96" w:rsidR="00E92F25" w:rsidRPr="00E41AEF" w:rsidRDefault="5EEE25AC" w:rsidP="5EEE25AC">
      <w:pPr>
        <w:rPr>
          <w:b/>
          <w:bCs/>
        </w:rPr>
      </w:pPr>
      <w:r w:rsidRPr="5EEE25AC">
        <w:rPr>
          <w:b/>
          <w:bCs/>
        </w:rPr>
        <w:t xml:space="preserve">Det har vært en ganske jevn nedgang i bruken av antibiotika de siste årene. Siden 2012 er bruken redusert med </w:t>
      </w:r>
      <w:r w:rsidR="001B5D9F">
        <w:rPr>
          <w:b/>
          <w:bCs/>
        </w:rPr>
        <w:t>23</w:t>
      </w:r>
      <w:r w:rsidRPr="5EEE25AC">
        <w:rPr>
          <w:b/>
          <w:bCs/>
        </w:rPr>
        <w:t xml:space="preserve"> prosent, viser tall fra </w:t>
      </w:r>
      <w:r w:rsidR="70C424CA" w:rsidRPr="70C424CA">
        <w:rPr>
          <w:b/>
          <w:bCs/>
        </w:rPr>
        <w:t>Apotekforeningens</w:t>
      </w:r>
      <w:r w:rsidRPr="5EEE25AC">
        <w:rPr>
          <w:b/>
          <w:bCs/>
        </w:rPr>
        <w:t xml:space="preserve"> bransjestatistikk. </w:t>
      </w:r>
    </w:p>
    <w:p w14:paraId="238DBD22" w14:textId="2063D281" w:rsidR="00E92F25" w:rsidRDefault="00E92F25">
      <w:r>
        <w:t xml:space="preserve">Det er et </w:t>
      </w:r>
      <w:hyperlink r:id="rId11" w:history="1">
        <w:r w:rsidRPr="00215EBF">
          <w:rPr>
            <w:rStyle w:val="Hyperkobling"/>
          </w:rPr>
          <w:t>helsepolitisk mål</w:t>
        </w:r>
      </w:hyperlink>
      <w:r>
        <w:t xml:space="preserve"> å redusere bruken av antibiotika med 30 prosent fra 2012 til utgangen av 2020. </w:t>
      </w:r>
      <w:r w:rsidR="00F258BD">
        <w:t xml:space="preserve">Dermed er </w:t>
      </w:r>
      <w:r w:rsidR="00040AC2">
        <w:t xml:space="preserve">man </w:t>
      </w:r>
      <w:r w:rsidR="00FD2BF9">
        <w:t>omtrent i rute til å nå målet</w:t>
      </w:r>
      <w:r w:rsidR="00040AC2">
        <w:t xml:space="preserve">. </w:t>
      </w:r>
    </w:p>
    <w:p w14:paraId="0F9D8C35" w14:textId="6CFC5908" w:rsidR="00E92F25" w:rsidRDefault="1846C15D">
      <w:r>
        <w:t>–</w:t>
      </w:r>
      <w:r w:rsidR="00DE0F9F">
        <w:t xml:space="preserve"> </w:t>
      </w:r>
      <w:r>
        <w:t xml:space="preserve">Helsetjenesten er på god vei, men skal vi nå målet om 30 prosent reduksjon, må </w:t>
      </w:r>
      <w:r w:rsidR="006E0F47">
        <w:t xml:space="preserve">det fortsatt </w:t>
      </w:r>
      <w:r w:rsidR="001F5C95">
        <w:t>gjøres en innsats</w:t>
      </w:r>
      <w:r>
        <w:t xml:space="preserve">. Skal vi beholde antibiotika som et effektivt middel mot infeksjoner i fremtiden, er det nødvendig både å bli mer restriktive i bruken og å bruke </w:t>
      </w:r>
      <w:proofErr w:type="spellStart"/>
      <w:r>
        <w:t>smalspektrede</w:t>
      </w:r>
      <w:proofErr w:type="spellEnd"/>
      <w:r>
        <w:t xml:space="preserve"> antibiotika </w:t>
      </w:r>
      <w:r w:rsidR="00821EC0">
        <w:t>når</w:t>
      </w:r>
      <w:r>
        <w:t xml:space="preserve"> det er mulig. Bare da kan vi redusere risikoen for at bakteriene blir resistente. Økt vaksinering mot influensa er også et godt tiltak for å redusere bruken av antibiotika i forbindelse med eventuelle følgesykdommer</w:t>
      </w:r>
      <w:r w:rsidR="0063532E">
        <w:t>, sier fagdirektør Per Kristian Faksvåg i Apotekforeningen</w:t>
      </w:r>
      <w:r>
        <w:t xml:space="preserve">. </w:t>
      </w:r>
    </w:p>
    <w:p w14:paraId="71D3EF42" w14:textId="77060F94" w:rsidR="00A9757E" w:rsidRDefault="00385C68">
      <w:r>
        <w:t xml:space="preserve">Tallene fra </w:t>
      </w:r>
      <w:r w:rsidR="00043406">
        <w:t>Apotekenes bransjestatistikk</w:t>
      </w:r>
      <w:r w:rsidR="00134119" w:rsidRPr="5F425E28">
        <w:t xml:space="preserve"> </w:t>
      </w:r>
      <w:r w:rsidR="00043406">
        <w:t>omfatter</w:t>
      </w:r>
      <w:r w:rsidR="00A84763" w:rsidRPr="5F425E28">
        <w:t xml:space="preserve"> </w:t>
      </w:r>
      <w:r w:rsidR="5F425E28" w:rsidRPr="5F425E28">
        <w:t xml:space="preserve">legemiddelgruppen </w:t>
      </w:r>
      <w:r w:rsidR="00A84763">
        <w:t>antib</w:t>
      </w:r>
      <w:r w:rsidR="7B124459">
        <w:t>iotika</w:t>
      </w:r>
      <w:r w:rsidR="0021748E">
        <w:t xml:space="preserve"> med unntak av </w:t>
      </w:r>
      <w:r w:rsidR="00134119">
        <w:t xml:space="preserve">det </w:t>
      </w:r>
      <w:r w:rsidR="4406A767">
        <w:t>antiseptiske</w:t>
      </w:r>
      <w:r w:rsidR="00134119">
        <w:t xml:space="preserve"> middelet </w:t>
      </w:r>
      <w:proofErr w:type="spellStart"/>
      <w:r w:rsidR="00134119">
        <w:t>Hiprex</w:t>
      </w:r>
      <w:proofErr w:type="spellEnd"/>
      <w:r w:rsidR="109B9BFE">
        <w:t xml:space="preserve"> som ikke forårsaker resist</w:t>
      </w:r>
      <w:r w:rsidR="4AAEE992">
        <w:t>ensutvikling.</w:t>
      </w:r>
      <w:r w:rsidR="004B5C9D" w:rsidRPr="5F425E28">
        <w:t xml:space="preserve"> </w:t>
      </w:r>
    </w:p>
    <w:p w14:paraId="2A189257" w14:textId="6062DC56" w:rsidR="006D52FF" w:rsidRDefault="006D52FF">
      <w:r>
        <w:t xml:space="preserve">Tallene fra Apotekenes bransjestatistikk viser at bruken av antibiotika pr innbygger sank med </w:t>
      </w:r>
      <w:r w:rsidR="00EB1011">
        <w:t>3,8</w:t>
      </w:r>
      <w:r>
        <w:t xml:space="preserve"> prosent fra 2017 til 2018 målt i antall definerte døgndoser (DDD) pr innbygger. Dette er en mindre nedgang enn året før, da bruken sank med </w:t>
      </w:r>
      <w:r w:rsidR="00285116">
        <w:t>over 5</w:t>
      </w:r>
      <w:r>
        <w:t xml:space="preserve"> prosent. Skal målet nås innen utgangen av 2020, må bruken reduseres </w:t>
      </w:r>
      <w:r w:rsidR="009C0DB4">
        <w:t xml:space="preserve">i samme takt som i fjor også </w:t>
      </w:r>
      <w:r>
        <w:t xml:space="preserve">i 2019 og </w:t>
      </w:r>
      <w:r w:rsidR="009C0DB4">
        <w:t>2020</w:t>
      </w:r>
      <w:r>
        <w:t xml:space="preserve">. </w:t>
      </w:r>
    </w:p>
    <w:p w14:paraId="0BB2D938" w14:textId="77777777" w:rsidR="00E92F25" w:rsidRDefault="00E92F25"/>
    <w:p w14:paraId="6743E300" w14:textId="28AE9888" w:rsidR="000411F3" w:rsidRDefault="00D5551A">
      <w:r>
        <w:rPr>
          <w:noProof/>
        </w:rPr>
        <w:drawing>
          <wp:inline distT="0" distB="0" distL="0" distR="0" wp14:anchorId="4D1E69CE" wp14:editId="17938A98">
            <wp:extent cx="5760720" cy="2867025"/>
            <wp:effectExtent l="0" t="0" r="11430" b="952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91AAAD" w14:textId="415A310F" w:rsidR="006E1B19" w:rsidRPr="006E1B19" w:rsidRDefault="006E1B19">
      <w:pPr>
        <w:rPr>
          <w:b/>
        </w:rPr>
      </w:pPr>
      <w:r w:rsidRPr="006E1B19">
        <w:rPr>
          <w:b/>
        </w:rPr>
        <w:t xml:space="preserve">Best i </w:t>
      </w:r>
      <w:r w:rsidR="009C0DB4">
        <w:rPr>
          <w:b/>
        </w:rPr>
        <w:t>primærhelsetjen</w:t>
      </w:r>
      <w:r w:rsidR="00754E83">
        <w:rPr>
          <w:b/>
        </w:rPr>
        <w:t>e</w:t>
      </w:r>
      <w:r w:rsidR="009C0DB4">
        <w:rPr>
          <w:b/>
        </w:rPr>
        <w:t>sten</w:t>
      </w:r>
    </w:p>
    <w:p w14:paraId="326876E7" w14:textId="4CB004F3" w:rsidR="000411F3" w:rsidRDefault="1846C15D">
      <w:r>
        <w:t xml:space="preserve">– Når vi ser nærmere på tallene, viser de at nedgangen i </w:t>
      </w:r>
      <w:r w:rsidR="5F425E28">
        <w:t>bruk av</w:t>
      </w:r>
      <w:r w:rsidR="23C3CC2B">
        <w:t xml:space="preserve"> </w:t>
      </w:r>
      <w:r w:rsidR="5F425E28">
        <w:t>antibiotika</w:t>
      </w:r>
      <w:r w:rsidR="23C3CC2B">
        <w:t xml:space="preserve"> </w:t>
      </w:r>
      <w:r>
        <w:t xml:space="preserve">er større i </w:t>
      </w:r>
      <w:r w:rsidR="00F900E6">
        <w:t xml:space="preserve">primærhelsetjenesten enn i </w:t>
      </w:r>
      <w:r>
        <w:t xml:space="preserve">sykehus og institusjoner. Primærhelsetjenesten står for omkring 85 prosent av all bruken, så det er </w:t>
      </w:r>
      <w:r w:rsidR="000936D5">
        <w:t>ekstra positivt</w:t>
      </w:r>
      <w:r>
        <w:t xml:space="preserve"> at denne delen av helsetjenesten </w:t>
      </w:r>
      <w:r w:rsidR="000936D5">
        <w:t>har tatt skikkelig</w:t>
      </w:r>
      <w:r>
        <w:t xml:space="preserve"> grep, mener Faksvåg</w:t>
      </w:r>
      <w:r w:rsidRPr="23C3CC2B">
        <w:t xml:space="preserve">. </w:t>
      </w:r>
    </w:p>
    <w:p w14:paraId="6CA65814" w14:textId="1BD987E8" w:rsidR="006D52FF" w:rsidRDefault="00E41AEF">
      <w:r>
        <w:t>Antall doser antibiotika som er solgt fra apotekene til</w:t>
      </w:r>
      <w:r w:rsidR="000936D5">
        <w:t xml:space="preserve"> reseptkunder</w:t>
      </w:r>
      <w:r w:rsidR="002D33F6">
        <w:t xml:space="preserve"> er redusert med 24 prosent, mens nedgangen i</w:t>
      </w:r>
      <w:r>
        <w:t xml:space="preserve"> sykehus og andre institusjoner er </w:t>
      </w:r>
      <w:r w:rsidR="002D33F6">
        <w:t>på 18 prosent</w:t>
      </w:r>
      <w:r>
        <w:t xml:space="preserve">. </w:t>
      </w:r>
    </w:p>
    <w:p w14:paraId="56AECF34" w14:textId="39693CDB" w:rsidR="00F272AA" w:rsidRPr="000530E3" w:rsidRDefault="34049A34">
      <w:pPr>
        <w:rPr>
          <w:b/>
          <w:bCs/>
        </w:rPr>
      </w:pPr>
      <w:r>
        <w:lastRenderedPageBreak/>
        <w:t xml:space="preserve">– Tallene tyder på at </w:t>
      </w:r>
      <w:r w:rsidR="00BE62B2">
        <w:t>fastlegene har tatt resistensutfordringen på alvor, og har tatt</w:t>
      </w:r>
      <w:r>
        <w:t xml:space="preserve"> viktige og riktige grep de siste årene. </w:t>
      </w:r>
      <w:r w:rsidR="2D0872AF">
        <w:t>Kanskje det også er en større forståelse i befolkni</w:t>
      </w:r>
      <w:r w:rsidR="7FD5254B">
        <w:t xml:space="preserve">ngen om at man </w:t>
      </w:r>
      <w:r w:rsidR="375A9941">
        <w:t>m</w:t>
      </w:r>
      <w:r w:rsidR="75201AAF">
        <w:t xml:space="preserve">å redusere bruken av antibiotika. </w:t>
      </w:r>
      <w:r w:rsidR="00BE62B2">
        <w:t xml:space="preserve">En del av forklaringen </w:t>
      </w:r>
      <w:r w:rsidR="004324DF">
        <w:t xml:space="preserve">på den store nedgangen i </w:t>
      </w:r>
      <w:r w:rsidR="75201AAF">
        <w:t>for</w:t>
      </w:r>
      <w:r w:rsidR="004324DF">
        <w:t>bruk</w:t>
      </w:r>
      <w:r w:rsidR="75201AAF">
        <w:t>e</w:t>
      </w:r>
      <w:r w:rsidR="43694075">
        <w:t>t av antibiotika</w:t>
      </w:r>
      <w:r w:rsidR="004324DF">
        <w:t xml:space="preserve"> i primærhelsetjenesten </w:t>
      </w:r>
      <w:r w:rsidR="00BE62B2">
        <w:t xml:space="preserve">er nok </w:t>
      </w:r>
      <w:r w:rsidR="67331701">
        <w:t xml:space="preserve">også </w:t>
      </w:r>
      <w:r w:rsidR="00BE62B2">
        <w:t xml:space="preserve">økt bruk av </w:t>
      </w:r>
      <w:proofErr w:type="spellStart"/>
      <w:r w:rsidR="00BE62B2">
        <w:t>Hiprex</w:t>
      </w:r>
      <w:proofErr w:type="spellEnd"/>
      <w:r>
        <w:t>, tror Per Kristian Faksvåg</w:t>
      </w:r>
      <w:r w:rsidRPr="43694075">
        <w:t>.</w:t>
      </w:r>
    </w:p>
    <w:p w14:paraId="4BED3EB6" w14:textId="0483189A" w:rsidR="34049A34" w:rsidRDefault="009040BA" w:rsidP="34049A34">
      <w:r>
        <w:rPr>
          <w:b/>
          <w:bCs/>
        </w:rPr>
        <w:t xml:space="preserve">Vest-Agder og </w:t>
      </w:r>
      <w:r w:rsidR="00E85D7C">
        <w:rPr>
          <w:b/>
          <w:bCs/>
        </w:rPr>
        <w:t>Østfold bruker mest – Telemark har minst reduksjon</w:t>
      </w:r>
    </w:p>
    <w:p w14:paraId="03E8F2FF" w14:textId="0BCA70DC" w:rsidR="005D2EF8" w:rsidRDefault="00724004" w:rsidP="34049A34">
      <w:r>
        <w:t xml:space="preserve">Det er forskjeller mellom fylkene </w:t>
      </w:r>
      <w:r w:rsidR="00D5380C">
        <w:t xml:space="preserve">når man ser </w:t>
      </w:r>
      <w:r w:rsidR="002321C1">
        <w:t xml:space="preserve">på prosentvis reduksjon i </w:t>
      </w:r>
      <w:r w:rsidR="074079D5">
        <w:t>bruken av antibiotika</w:t>
      </w:r>
      <w:r w:rsidR="002321C1">
        <w:t xml:space="preserve"> i primærhelsetjenesten (utlevert etter resept)</w:t>
      </w:r>
      <w:r w:rsidR="00B9611D">
        <w:rPr>
          <w:rStyle w:val="Sluttnotereferanse"/>
        </w:rPr>
        <w:endnoteReference w:id="2"/>
      </w:r>
      <w:r w:rsidR="002321C1" w:rsidRPr="3B43FA64">
        <w:t xml:space="preserve">. </w:t>
      </w:r>
      <w:r w:rsidR="008723F5">
        <w:t xml:space="preserve">Oslo har hatt en kraftig reduksjon i bruken og har </w:t>
      </w:r>
      <w:r w:rsidR="002B4C36">
        <w:t xml:space="preserve">allerede </w:t>
      </w:r>
      <w:r w:rsidR="008723F5">
        <w:t xml:space="preserve">en nedgang på </w:t>
      </w:r>
      <w:r w:rsidR="002B4C36">
        <w:t>nesten 30</w:t>
      </w:r>
      <w:r w:rsidR="00C90D16">
        <w:t xml:space="preserve"> prosent siden 2012. Sogn og Fjordane ligger også godt an med en nedgang på </w:t>
      </w:r>
      <w:r w:rsidR="00F0558B">
        <w:t>26</w:t>
      </w:r>
      <w:r w:rsidR="00C90D16">
        <w:t xml:space="preserve"> prosent. I den andre enden av skalaen finner man Telemark, som har redusert bruken med </w:t>
      </w:r>
      <w:r w:rsidR="007646EA">
        <w:t xml:space="preserve">15 </w:t>
      </w:r>
      <w:r w:rsidR="00F10736">
        <w:t>prosent pr innbygger siden 2012</w:t>
      </w:r>
      <w:r w:rsidR="719606CD">
        <w:t xml:space="preserve"> og </w:t>
      </w:r>
      <w:r w:rsidR="00F10736">
        <w:t xml:space="preserve">Nordland med en nedgang på </w:t>
      </w:r>
      <w:r w:rsidR="00312B07">
        <w:t>1</w:t>
      </w:r>
      <w:r w:rsidR="006A738A">
        <w:t>8</w:t>
      </w:r>
      <w:r w:rsidR="00F10736">
        <w:t xml:space="preserve"> prosent.</w:t>
      </w:r>
      <w:r w:rsidR="006A738A">
        <w:t xml:space="preserve"> I de øvrige fylkene har det vært en nedgang på over 20 prosent i primærhelsetjenesten. </w:t>
      </w:r>
    </w:p>
    <w:p w14:paraId="59E4739D" w14:textId="1B4B3CED" w:rsidR="005D2EF8" w:rsidRDefault="009365EC" w:rsidP="34049A34">
      <w:r>
        <w:t xml:space="preserve">Sammenligner man fylkene etter hvor mange </w:t>
      </w:r>
      <w:proofErr w:type="spellStart"/>
      <w:r>
        <w:t>antibiotikadoser</w:t>
      </w:r>
      <w:proofErr w:type="spellEnd"/>
      <w:r>
        <w:t xml:space="preserve"> </w:t>
      </w:r>
      <w:r w:rsidR="640E7E98">
        <w:t>som</w:t>
      </w:r>
      <w:r>
        <w:t xml:space="preserve"> bruke</w:t>
      </w:r>
      <w:r w:rsidR="640E7E98">
        <w:t>s</w:t>
      </w:r>
      <w:r>
        <w:t xml:space="preserve"> pr innbygger, ser imidlertid </w:t>
      </w:r>
      <w:r w:rsidR="00453FD3">
        <w:t xml:space="preserve">kartet litt annerledes ut. Det er </w:t>
      </w:r>
      <w:r w:rsidR="00CC11C0">
        <w:t xml:space="preserve">Finnmark og </w:t>
      </w:r>
      <w:r w:rsidR="00453FD3">
        <w:t xml:space="preserve">Sogn og Fjordane som har lavest forbruk pr innbygger, fulgt av </w:t>
      </w:r>
      <w:r w:rsidR="00F2410D">
        <w:t>Troms</w:t>
      </w:r>
      <w:r w:rsidR="00453FD3">
        <w:t xml:space="preserve">. </w:t>
      </w:r>
      <w:r w:rsidR="00CB0625">
        <w:t xml:space="preserve">Østfold </w:t>
      </w:r>
      <w:r w:rsidR="00F2410D">
        <w:t xml:space="preserve">og Agderfylkene </w:t>
      </w:r>
      <w:r w:rsidR="00CB0625">
        <w:t>har det høyeste</w:t>
      </w:r>
      <w:r w:rsidR="00F2410D">
        <w:t>.</w:t>
      </w:r>
      <w:r w:rsidR="00646BF5">
        <w:rPr>
          <w:rStyle w:val="Sluttnotereferanse"/>
        </w:rPr>
        <w:endnoteReference w:id="3"/>
      </w:r>
      <w:r w:rsidR="00CB0625">
        <w:t xml:space="preserve"> </w:t>
      </w:r>
      <w:r w:rsidR="00F10736">
        <w:t xml:space="preserve"> </w:t>
      </w:r>
    </w:p>
    <w:p w14:paraId="27925344" w14:textId="353C9C85" w:rsidR="00052E37" w:rsidRPr="005D2EF8" w:rsidRDefault="0026643C" w:rsidP="34049A34">
      <w:r>
        <w:t xml:space="preserve">Befolkningen i </w:t>
      </w:r>
      <w:r w:rsidR="00C72F8E">
        <w:t>Vest-Agder</w:t>
      </w:r>
      <w:r w:rsidR="00F02277">
        <w:t xml:space="preserve"> og Østfold</w:t>
      </w:r>
      <w:r w:rsidR="00C72F8E">
        <w:t xml:space="preserve"> </w:t>
      </w:r>
      <w:r>
        <w:t xml:space="preserve">får utlevert </w:t>
      </w:r>
      <w:r w:rsidR="00F02277">
        <w:t xml:space="preserve">hhv. </w:t>
      </w:r>
      <w:r>
        <w:t>1</w:t>
      </w:r>
      <w:r w:rsidR="00C72F8E">
        <w:t>7</w:t>
      </w:r>
      <w:r>
        <w:t xml:space="preserve"> </w:t>
      </w:r>
      <w:r w:rsidR="00F02277">
        <w:t xml:space="preserve">og 16 </w:t>
      </w:r>
      <w:r>
        <w:t xml:space="preserve">prosent </w:t>
      </w:r>
      <w:r w:rsidR="00C72F8E">
        <w:t>flere doser</w:t>
      </w:r>
      <w:r>
        <w:t xml:space="preserve"> antibiotika</w:t>
      </w:r>
      <w:r w:rsidR="00F12003">
        <w:t xml:space="preserve"> fra apotekene enn landsgjennomsnittet. </w:t>
      </w:r>
    </w:p>
    <w:p w14:paraId="6951E85F" w14:textId="5DC9053F" w:rsidR="00052E37" w:rsidRPr="005D2EF8" w:rsidRDefault="00AD7B5B" w:rsidP="34049A34">
      <w:r>
        <w:rPr>
          <w:noProof/>
        </w:rPr>
        <w:drawing>
          <wp:inline distT="0" distB="0" distL="0" distR="0" wp14:anchorId="03DB3402" wp14:editId="2224EB78">
            <wp:extent cx="5760720" cy="3581400"/>
            <wp:effectExtent l="0" t="0" r="1143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8057794E-4290-4D4B-8CC7-E548DFED6E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94F30">
        <w:rPr>
          <w:noProof/>
        </w:rPr>
        <w:t xml:space="preserve"> </w:t>
      </w:r>
    </w:p>
    <w:p w14:paraId="29D2283B" w14:textId="299C8E74" w:rsidR="34049A34" w:rsidRDefault="34049A34" w:rsidP="34049A34">
      <w:r w:rsidRPr="34049A34">
        <w:rPr>
          <w:b/>
          <w:bCs/>
        </w:rPr>
        <w:t>Manglende kunnskap i befolkningen</w:t>
      </w:r>
    </w:p>
    <w:p w14:paraId="70045C4A" w14:textId="437F336D" w:rsidR="00E41AEF" w:rsidRPr="000530E3" w:rsidRDefault="4FFD30FE">
      <w:pPr>
        <w:rPr>
          <w:rFonts w:eastAsiaTheme="minorEastAsia"/>
        </w:rPr>
      </w:pPr>
      <w:r>
        <w:t xml:space="preserve">I en nylig publisert </w:t>
      </w:r>
      <w:hyperlink r:id="rId14">
        <w:r w:rsidRPr="4FFD30FE">
          <w:rPr>
            <w:rStyle w:val="Hyperkobling"/>
          </w:rPr>
          <w:t>forskningsartikkel</w:t>
        </w:r>
      </w:hyperlink>
      <w:r w:rsidR="0B987C41">
        <w:t xml:space="preserve"> viser norske forskere at mange </w:t>
      </w:r>
      <w:r w:rsidR="000300AA">
        <w:t xml:space="preserve">nordmenn </w:t>
      </w:r>
      <w:r w:rsidR="0B987C41">
        <w:t>kjen</w:t>
      </w:r>
      <w:r w:rsidR="000300AA">
        <w:t>ner</w:t>
      </w:r>
      <w:r w:rsidR="0B987C41">
        <w:t xml:space="preserve"> til sammenhengen mellom bruk av antibiotika og utvikling av resistens. Imidlertid mente mer enn 30 prosent av de spurte apotekkundene </w:t>
      </w:r>
      <w:r w:rsidR="004C5DAA">
        <w:t xml:space="preserve">feilaktig </w:t>
      </w:r>
      <w:r w:rsidR="0B987C41">
        <w:t>at antibiotika virker mot</w:t>
      </w:r>
      <w:r w:rsidR="00A76043">
        <w:t xml:space="preserve"> virus</w:t>
      </w:r>
      <w:r w:rsidR="0042635B">
        <w:t>sykdommer som</w:t>
      </w:r>
      <w:r w:rsidR="0B987C41">
        <w:t xml:space="preserve"> influensa. Kunnskapen varierer i ulike deler av befolkningen.</w:t>
      </w:r>
    </w:p>
    <w:p w14:paraId="722F22F3" w14:textId="14D11625" w:rsidR="00E41AEF" w:rsidRPr="000530E3" w:rsidRDefault="34049A34">
      <w:pPr>
        <w:rPr>
          <w:rFonts w:eastAsiaTheme="minorEastAsia"/>
        </w:rPr>
      </w:pPr>
      <w:r w:rsidRPr="712B030B">
        <w:rPr>
          <w:rFonts w:eastAsiaTheme="minorEastAsia"/>
        </w:rPr>
        <w:t>Influensa</w:t>
      </w:r>
      <w:r w:rsidR="00EE1B96" w:rsidRPr="712B030B">
        <w:rPr>
          <w:rFonts w:eastAsiaTheme="minorEastAsia"/>
        </w:rPr>
        <w:t xml:space="preserve"> er en betennelse i </w:t>
      </w:r>
      <w:r w:rsidRPr="712B030B">
        <w:rPr>
          <w:rFonts w:eastAsiaTheme="minorEastAsia"/>
        </w:rPr>
        <w:t>luftveiene</w:t>
      </w:r>
      <w:r w:rsidR="00EE1B96" w:rsidRPr="712B030B">
        <w:rPr>
          <w:rFonts w:eastAsiaTheme="minorEastAsia"/>
        </w:rPr>
        <w:t xml:space="preserve"> forårsaket av influensa</w:t>
      </w:r>
      <w:r w:rsidR="00AF3408" w:rsidRPr="712B030B">
        <w:rPr>
          <w:rFonts w:eastAsiaTheme="minorEastAsia"/>
        </w:rPr>
        <w:t>virus</w:t>
      </w:r>
      <w:r w:rsidRPr="712B030B">
        <w:rPr>
          <w:rFonts w:eastAsiaTheme="minorEastAsia"/>
        </w:rPr>
        <w:t>. Typiske symptomer på influensa er smerter i muskle</w:t>
      </w:r>
      <w:r w:rsidR="008F77D1" w:rsidRPr="712B030B">
        <w:rPr>
          <w:rFonts w:eastAsiaTheme="minorEastAsia"/>
        </w:rPr>
        <w:t>ne</w:t>
      </w:r>
      <w:r w:rsidRPr="712B030B">
        <w:rPr>
          <w:rFonts w:eastAsiaTheme="minorEastAsia"/>
        </w:rPr>
        <w:t xml:space="preserve">, høy feber, hodepine og man føler seg veldig slapp. Influensa skal ikke </w:t>
      </w:r>
      <w:r w:rsidRPr="712B030B">
        <w:rPr>
          <w:rFonts w:eastAsiaTheme="minorEastAsia"/>
        </w:rPr>
        <w:lastRenderedPageBreak/>
        <w:t>behandles med antibiotika, men dersom man har fått en sykdom forårsaket av bakterier som følge av influensaen, kan bruk av antibiotika være et valg.</w:t>
      </w:r>
      <w:r w:rsidR="004065CC">
        <w:rPr>
          <w:rFonts w:eastAsiaTheme="minorEastAsia"/>
        </w:rPr>
        <w:t xml:space="preserve"> </w:t>
      </w:r>
      <w:bookmarkStart w:id="0" w:name="_GoBack"/>
      <w:bookmarkEnd w:id="0"/>
    </w:p>
    <w:p w14:paraId="01878290" w14:textId="1242BA57" w:rsidR="00E41AEF" w:rsidRDefault="34049A34" w:rsidP="34049A34">
      <w:pPr>
        <w:rPr>
          <w:rFonts w:eastAsiaTheme="minorEastAsia"/>
        </w:rPr>
      </w:pPr>
      <w:r w:rsidRPr="34049A34">
        <w:rPr>
          <w:rFonts w:eastAsiaTheme="minorEastAsia"/>
        </w:rPr>
        <w:t>– Vår oppfordring er at alle deler av helsetjenesten må utfordres og engasjeres enda mer for å arbeide sammen i tråd med myndighetenes mål om «Antibiotika – bare når det trengs», avslutter Faksvåg.</w:t>
      </w:r>
    </w:p>
    <w:p w14:paraId="448DE124" w14:textId="0099C2A5" w:rsidR="00E41AEF" w:rsidRDefault="00E41AEF">
      <w:pPr>
        <w:rPr>
          <w:rFonts w:eastAsiaTheme="minorEastAsia"/>
        </w:rPr>
      </w:pPr>
      <w:r w:rsidRPr="6A4BF273">
        <w:rPr>
          <w:rFonts w:eastAsiaTheme="minorEastAsia"/>
        </w:rPr>
        <w:t xml:space="preserve"> </w:t>
      </w:r>
    </w:p>
    <w:p w14:paraId="1202EEE2" w14:textId="77777777" w:rsidR="000411F3" w:rsidRDefault="000411F3"/>
    <w:sectPr w:rsidR="000411F3" w:rsidSect="0003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D3D3" w14:textId="77777777" w:rsidR="00C24D26" w:rsidRDefault="00C24D26" w:rsidP="00646BF5">
      <w:pPr>
        <w:spacing w:after="0" w:line="240" w:lineRule="auto"/>
      </w:pPr>
      <w:r>
        <w:separator/>
      </w:r>
    </w:p>
  </w:endnote>
  <w:endnote w:type="continuationSeparator" w:id="0">
    <w:p w14:paraId="41A71EE8" w14:textId="77777777" w:rsidR="00C24D26" w:rsidRDefault="00C24D26" w:rsidP="00646BF5">
      <w:pPr>
        <w:spacing w:after="0" w:line="240" w:lineRule="auto"/>
      </w:pPr>
      <w:r>
        <w:continuationSeparator/>
      </w:r>
    </w:p>
  </w:endnote>
  <w:endnote w:type="continuationNotice" w:id="1">
    <w:p w14:paraId="5EB24DF7" w14:textId="77777777" w:rsidR="00C24D26" w:rsidRDefault="00C24D26">
      <w:pPr>
        <w:spacing w:after="0" w:line="240" w:lineRule="auto"/>
      </w:pPr>
    </w:p>
  </w:endnote>
  <w:endnote w:id="2">
    <w:p w14:paraId="41B4AA73" w14:textId="019AE4BB" w:rsidR="00B9611D" w:rsidRDefault="00B9611D">
      <w:pPr>
        <w:pStyle w:val="Sluttnotetekst"/>
      </w:pPr>
      <w:r>
        <w:rPr>
          <w:rStyle w:val="Sluttnotereferanse"/>
        </w:rPr>
        <w:endnoteRef/>
      </w:r>
      <w:r>
        <w:t xml:space="preserve"> </w:t>
      </w:r>
      <w:r w:rsidR="00CE696B">
        <w:t xml:space="preserve">Apotekenes bransjestatistikk har ikke persondata, og </w:t>
      </w:r>
      <w:r w:rsidR="002F37A6">
        <w:t xml:space="preserve">har ikke informasjon om pasientens hjemfylke. Dermed </w:t>
      </w:r>
      <w:r w:rsidR="00755E09">
        <w:t xml:space="preserve">blir det store avvik hvis man inkluderer sykehusleveranser mv. i fylkestallene, fordi det bare finnes informasjon om hvilket fylke utleverende apotek </w:t>
      </w:r>
      <w:r w:rsidR="008466AE">
        <w:t>ligger i. Det er derfor bare oppgitt data for fylker knyttet til resept</w:t>
      </w:r>
      <w:r w:rsidR="007646EA">
        <w:t xml:space="preserve">utlevering av antibiotika. </w:t>
      </w:r>
    </w:p>
  </w:endnote>
  <w:endnote w:id="3">
    <w:p w14:paraId="29D44C53" w14:textId="34E99D4D" w:rsidR="00646BF5" w:rsidRDefault="00646BF5">
      <w:pPr>
        <w:pStyle w:val="Sluttnotetekst"/>
      </w:pPr>
      <w:r>
        <w:rPr>
          <w:rStyle w:val="Sluttnotereferanse"/>
        </w:rPr>
        <w:endnoteRef/>
      </w:r>
      <w:r>
        <w:t xml:space="preserve"> Tallene som ligger til grunn for fylkes-sammenlign</w:t>
      </w:r>
      <w:r w:rsidR="00DF3DD9">
        <w:t xml:space="preserve">ingen er basert på apotekenes hjemfylke, ikke nødvendigvis i hvilket fylke </w:t>
      </w:r>
      <w:r w:rsidR="006F7773">
        <w:t xml:space="preserve">pasienten </w:t>
      </w:r>
      <w:r w:rsidR="00B3338B">
        <w:t>bor</w:t>
      </w:r>
      <w:r w:rsidR="006F7773">
        <w:t xml:space="preserve">. </w:t>
      </w:r>
    </w:p>
    <w:p w14:paraId="7797F3B4" w14:textId="2E18CBF6" w:rsidR="006F7773" w:rsidRDefault="00B53FFC">
      <w:pPr>
        <w:pStyle w:val="Sluttnotetekst"/>
      </w:pPr>
      <w:r>
        <w:t>Det er</w:t>
      </w:r>
      <w:r w:rsidR="006F7773">
        <w:t xml:space="preserve"> den gamle fylkesinndelingen</w:t>
      </w:r>
      <w:r>
        <w:t xml:space="preserve"> som er brukt</w:t>
      </w:r>
      <w:r w:rsidR="006F7773">
        <w:t xml:space="preserve">, for lettere å kunne sammenligne med tall fra 2012.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84E41" w14:textId="77777777" w:rsidR="00C24D26" w:rsidRDefault="00C24D26" w:rsidP="00646BF5">
      <w:pPr>
        <w:spacing w:after="0" w:line="240" w:lineRule="auto"/>
      </w:pPr>
      <w:r>
        <w:separator/>
      </w:r>
    </w:p>
  </w:footnote>
  <w:footnote w:type="continuationSeparator" w:id="0">
    <w:p w14:paraId="09D52067" w14:textId="77777777" w:rsidR="00C24D26" w:rsidRDefault="00C24D26" w:rsidP="00646BF5">
      <w:pPr>
        <w:spacing w:after="0" w:line="240" w:lineRule="auto"/>
      </w:pPr>
      <w:r>
        <w:continuationSeparator/>
      </w:r>
    </w:p>
  </w:footnote>
  <w:footnote w:type="continuationNotice" w:id="1">
    <w:p w14:paraId="13A8C581" w14:textId="77777777" w:rsidR="00C24D26" w:rsidRDefault="00C24D2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F3"/>
    <w:rsid w:val="00002767"/>
    <w:rsid w:val="0001401C"/>
    <w:rsid w:val="0001500B"/>
    <w:rsid w:val="00027F6D"/>
    <w:rsid w:val="000300AA"/>
    <w:rsid w:val="00040433"/>
    <w:rsid w:val="00040AC2"/>
    <w:rsid w:val="000411F3"/>
    <w:rsid w:val="00043406"/>
    <w:rsid w:val="00045458"/>
    <w:rsid w:val="00052E37"/>
    <w:rsid w:val="000530E3"/>
    <w:rsid w:val="00057584"/>
    <w:rsid w:val="0007300E"/>
    <w:rsid w:val="00084E61"/>
    <w:rsid w:val="000936D5"/>
    <w:rsid w:val="00093D03"/>
    <w:rsid w:val="000A4907"/>
    <w:rsid w:val="000B5FBA"/>
    <w:rsid w:val="000D530C"/>
    <w:rsid w:val="000F4ECD"/>
    <w:rsid w:val="00114107"/>
    <w:rsid w:val="00131912"/>
    <w:rsid w:val="00132310"/>
    <w:rsid w:val="00133C50"/>
    <w:rsid w:val="00134119"/>
    <w:rsid w:val="00143A7A"/>
    <w:rsid w:val="00150859"/>
    <w:rsid w:val="001655B9"/>
    <w:rsid w:val="00191690"/>
    <w:rsid w:val="001B2CAE"/>
    <w:rsid w:val="001B5D9F"/>
    <w:rsid w:val="001C17E5"/>
    <w:rsid w:val="001F5C95"/>
    <w:rsid w:val="00201BF7"/>
    <w:rsid w:val="00215EBF"/>
    <w:rsid w:val="0021748E"/>
    <w:rsid w:val="0022151C"/>
    <w:rsid w:val="002321C1"/>
    <w:rsid w:val="002624A7"/>
    <w:rsid w:val="0026643C"/>
    <w:rsid w:val="00281051"/>
    <w:rsid w:val="00285116"/>
    <w:rsid w:val="00290022"/>
    <w:rsid w:val="0029282F"/>
    <w:rsid w:val="002B4C36"/>
    <w:rsid w:val="002B6ED8"/>
    <w:rsid w:val="002D33F6"/>
    <w:rsid w:val="002F37A6"/>
    <w:rsid w:val="00312B07"/>
    <w:rsid w:val="0031612F"/>
    <w:rsid w:val="003219C4"/>
    <w:rsid w:val="00346E6D"/>
    <w:rsid w:val="00353A65"/>
    <w:rsid w:val="00360446"/>
    <w:rsid w:val="00374BBD"/>
    <w:rsid w:val="0038219D"/>
    <w:rsid w:val="00385C68"/>
    <w:rsid w:val="003A3AF5"/>
    <w:rsid w:val="003E5A73"/>
    <w:rsid w:val="004065CC"/>
    <w:rsid w:val="0042635B"/>
    <w:rsid w:val="004324DF"/>
    <w:rsid w:val="00453FD3"/>
    <w:rsid w:val="00480782"/>
    <w:rsid w:val="0049092D"/>
    <w:rsid w:val="004B5C9D"/>
    <w:rsid w:val="004C20B1"/>
    <w:rsid w:val="004C5DAA"/>
    <w:rsid w:val="00512144"/>
    <w:rsid w:val="00521390"/>
    <w:rsid w:val="005229AE"/>
    <w:rsid w:val="0052312D"/>
    <w:rsid w:val="00575E39"/>
    <w:rsid w:val="00590507"/>
    <w:rsid w:val="00597E22"/>
    <w:rsid w:val="005A3307"/>
    <w:rsid w:val="005D1318"/>
    <w:rsid w:val="005D2EF8"/>
    <w:rsid w:val="005F4BE0"/>
    <w:rsid w:val="0060254A"/>
    <w:rsid w:val="00602FB5"/>
    <w:rsid w:val="00620A34"/>
    <w:rsid w:val="0063532E"/>
    <w:rsid w:val="00646BF5"/>
    <w:rsid w:val="006645E4"/>
    <w:rsid w:val="0068289B"/>
    <w:rsid w:val="00694F30"/>
    <w:rsid w:val="00696DD6"/>
    <w:rsid w:val="006A738A"/>
    <w:rsid w:val="006C3464"/>
    <w:rsid w:val="006C7E88"/>
    <w:rsid w:val="006D2329"/>
    <w:rsid w:val="006D52FF"/>
    <w:rsid w:val="006E0F47"/>
    <w:rsid w:val="006E1B19"/>
    <w:rsid w:val="006F7773"/>
    <w:rsid w:val="00702E5A"/>
    <w:rsid w:val="00724004"/>
    <w:rsid w:val="00733EC0"/>
    <w:rsid w:val="00735A9C"/>
    <w:rsid w:val="0073633B"/>
    <w:rsid w:val="00751872"/>
    <w:rsid w:val="00754E83"/>
    <w:rsid w:val="007556F5"/>
    <w:rsid w:val="00755E09"/>
    <w:rsid w:val="007574E2"/>
    <w:rsid w:val="007646EA"/>
    <w:rsid w:val="00770EC9"/>
    <w:rsid w:val="007813EB"/>
    <w:rsid w:val="0078501E"/>
    <w:rsid w:val="00785D08"/>
    <w:rsid w:val="00787A8E"/>
    <w:rsid w:val="007A2B1C"/>
    <w:rsid w:val="007B5D04"/>
    <w:rsid w:val="007D36B5"/>
    <w:rsid w:val="007D7843"/>
    <w:rsid w:val="00821EC0"/>
    <w:rsid w:val="00825727"/>
    <w:rsid w:val="008466AE"/>
    <w:rsid w:val="00846DE2"/>
    <w:rsid w:val="008723F5"/>
    <w:rsid w:val="00876215"/>
    <w:rsid w:val="008842CC"/>
    <w:rsid w:val="008912D1"/>
    <w:rsid w:val="008A6E89"/>
    <w:rsid w:val="008B1892"/>
    <w:rsid w:val="008B33BA"/>
    <w:rsid w:val="008C3E25"/>
    <w:rsid w:val="008C78AD"/>
    <w:rsid w:val="008D5284"/>
    <w:rsid w:val="008E6913"/>
    <w:rsid w:val="008F77D1"/>
    <w:rsid w:val="009040BA"/>
    <w:rsid w:val="00935FB0"/>
    <w:rsid w:val="009365EC"/>
    <w:rsid w:val="009A4C30"/>
    <w:rsid w:val="009C0DB4"/>
    <w:rsid w:val="009D674B"/>
    <w:rsid w:val="009F66CF"/>
    <w:rsid w:val="009F6961"/>
    <w:rsid w:val="00A06CD7"/>
    <w:rsid w:val="00A116CD"/>
    <w:rsid w:val="00A16461"/>
    <w:rsid w:val="00A212CA"/>
    <w:rsid w:val="00A22A68"/>
    <w:rsid w:val="00A2756D"/>
    <w:rsid w:val="00A458EB"/>
    <w:rsid w:val="00A52E1D"/>
    <w:rsid w:val="00A76043"/>
    <w:rsid w:val="00A84763"/>
    <w:rsid w:val="00A9757E"/>
    <w:rsid w:val="00AA2BE3"/>
    <w:rsid w:val="00AD7B5B"/>
    <w:rsid w:val="00AE56C9"/>
    <w:rsid w:val="00AF3408"/>
    <w:rsid w:val="00AF6619"/>
    <w:rsid w:val="00B0065A"/>
    <w:rsid w:val="00B3338B"/>
    <w:rsid w:val="00B33C31"/>
    <w:rsid w:val="00B53FFC"/>
    <w:rsid w:val="00B638AF"/>
    <w:rsid w:val="00B7730D"/>
    <w:rsid w:val="00B9611D"/>
    <w:rsid w:val="00BA49ED"/>
    <w:rsid w:val="00BA5E33"/>
    <w:rsid w:val="00BC0738"/>
    <w:rsid w:val="00BD670E"/>
    <w:rsid w:val="00BE62B2"/>
    <w:rsid w:val="00BF0561"/>
    <w:rsid w:val="00BF0C06"/>
    <w:rsid w:val="00C124EF"/>
    <w:rsid w:val="00C24D26"/>
    <w:rsid w:val="00C65889"/>
    <w:rsid w:val="00C72F8E"/>
    <w:rsid w:val="00C87141"/>
    <w:rsid w:val="00C90D16"/>
    <w:rsid w:val="00C91A87"/>
    <w:rsid w:val="00C9309D"/>
    <w:rsid w:val="00C93C41"/>
    <w:rsid w:val="00CA5097"/>
    <w:rsid w:val="00CB0625"/>
    <w:rsid w:val="00CC11C0"/>
    <w:rsid w:val="00CC24B3"/>
    <w:rsid w:val="00CD3C06"/>
    <w:rsid w:val="00CD6E60"/>
    <w:rsid w:val="00CE2ADE"/>
    <w:rsid w:val="00CE696B"/>
    <w:rsid w:val="00D04D49"/>
    <w:rsid w:val="00D151E1"/>
    <w:rsid w:val="00D208EE"/>
    <w:rsid w:val="00D52E93"/>
    <w:rsid w:val="00D5380C"/>
    <w:rsid w:val="00D5551A"/>
    <w:rsid w:val="00DC75A3"/>
    <w:rsid w:val="00DD51B3"/>
    <w:rsid w:val="00DE0F9F"/>
    <w:rsid w:val="00DF3DD9"/>
    <w:rsid w:val="00DF75E0"/>
    <w:rsid w:val="00E16D7E"/>
    <w:rsid w:val="00E327E1"/>
    <w:rsid w:val="00E40BD8"/>
    <w:rsid w:val="00E41AEF"/>
    <w:rsid w:val="00E81D1D"/>
    <w:rsid w:val="00E85D7C"/>
    <w:rsid w:val="00E92F25"/>
    <w:rsid w:val="00EB1011"/>
    <w:rsid w:val="00EB1571"/>
    <w:rsid w:val="00EB7203"/>
    <w:rsid w:val="00EC362B"/>
    <w:rsid w:val="00ED642B"/>
    <w:rsid w:val="00EE0E1B"/>
    <w:rsid w:val="00EE1B96"/>
    <w:rsid w:val="00F0211C"/>
    <w:rsid w:val="00F02277"/>
    <w:rsid w:val="00F04BAC"/>
    <w:rsid w:val="00F0558B"/>
    <w:rsid w:val="00F10736"/>
    <w:rsid w:val="00F12003"/>
    <w:rsid w:val="00F21AA7"/>
    <w:rsid w:val="00F2410D"/>
    <w:rsid w:val="00F258BD"/>
    <w:rsid w:val="00F272AA"/>
    <w:rsid w:val="00F3202A"/>
    <w:rsid w:val="00F409F1"/>
    <w:rsid w:val="00F900E6"/>
    <w:rsid w:val="00FA4251"/>
    <w:rsid w:val="00FB208A"/>
    <w:rsid w:val="00FB46FC"/>
    <w:rsid w:val="00FD2BF9"/>
    <w:rsid w:val="00FD7254"/>
    <w:rsid w:val="00FF4662"/>
    <w:rsid w:val="05B92254"/>
    <w:rsid w:val="05E48C9B"/>
    <w:rsid w:val="07028EA6"/>
    <w:rsid w:val="074079D5"/>
    <w:rsid w:val="0834A63C"/>
    <w:rsid w:val="088F4B36"/>
    <w:rsid w:val="0B987C41"/>
    <w:rsid w:val="109B9BFE"/>
    <w:rsid w:val="1846C15D"/>
    <w:rsid w:val="18FB4028"/>
    <w:rsid w:val="1CBD5432"/>
    <w:rsid w:val="2036EACE"/>
    <w:rsid w:val="23C3CC2B"/>
    <w:rsid w:val="248A009F"/>
    <w:rsid w:val="2AE39D7A"/>
    <w:rsid w:val="2D0872AF"/>
    <w:rsid w:val="2EFB4F3C"/>
    <w:rsid w:val="34049A34"/>
    <w:rsid w:val="35669F49"/>
    <w:rsid w:val="375A9941"/>
    <w:rsid w:val="3B43FA64"/>
    <w:rsid w:val="3E3863C8"/>
    <w:rsid w:val="418F2EF3"/>
    <w:rsid w:val="43694075"/>
    <w:rsid w:val="4406A767"/>
    <w:rsid w:val="44D330B2"/>
    <w:rsid w:val="48A62584"/>
    <w:rsid w:val="4AAEE992"/>
    <w:rsid w:val="4D130616"/>
    <w:rsid w:val="4FFD30FE"/>
    <w:rsid w:val="504B8CBB"/>
    <w:rsid w:val="50FED46D"/>
    <w:rsid w:val="5EEE25AC"/>
    <w:rsid w:val="5F425E28"/>
    <w:rsid w:val="5FB7F3E6"/>
    <w:rsid w:val="640E7E98"/>
    <w:rsid w:val="64C0790E"/>
    <w:rsid w:val="65A24BA4"/>
    <w:rsid w:val="66958FA8"/>
    <w:rsid w:val="67331701"/>
    <w:rsid w:val="6A4BF273"/>
    <w:rsid w:val="6B3254B6"/>
    <w:rsid w:val="6BB6FE86"/>
    <w:rsid w:val="6D401B04"/>
    <w:rsid w:val="6F97627F"/>
    <w:rsid w:val="6FAFEA2F"/>
    <w:rsid w:val="70C424CA"/>
    <w:rsid w:val="712B030B"/>
    <w:rsid w:val="718F8AFB"/>
    <w:rsid w:val="719606CD"/>
    <w:rsid w:val="74EE9645"/>
    <w:rsid w:val="75201AAF"/>
    <w:rsid w:val="7585101F"/>
    <w:rsid w:val="75D8B2DF"/>
    <w:rsid w:val="76C8880B"/>
    <w:rsid w:val="77BCD49E"/>
    <w:rsid w:val="7B124459"/>
    <w:rsid w:val="7BA11D13"/>
    <w:rsid w:val="7DD38668"/>
    <w:rsid w:val="7EE6977F"/>
    <w:rsid w:val="7EFB1686"/>
    <w:rsid w:val="7FD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BCC8"/>
  <w15:chartTrackingRefBased/>
  <w15:docId w15:val="{92FF40B5-FC21-4181-B836-611EB746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2F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670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670E"/>
    <w:rPr>
      <w:color w:val="605E5C"/>
      <w:shd w:val="clear" w:color="auto" w:fill="E1DFDD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46BF5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46BF5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646BF5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unhideWhenUsed/>
    <w:rsid w:val="00EC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C362B"/>
  </w:style>
  <w:style w:type="paragraph" w:styleId="Bunntekst">
    <w:name w:val="footer"/>
    <w:basedOn w:val="Normal"/>
    <w:link w:val="BunntekstTegn"/>
    <w:uiPriority w:val="99"/>
    <w:semiHidden/>
    <w:unhideWhenUsed/>
    <w:rsid w:val="00EC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C362B"/>
  </w:style>
  <w:style w:type="character" w:styleId="Fulgthyperkobling">
    <w:name w:val="FollowedHyperlink"/>
    <w:basedOn w:val="Standardskriftforavsnitt"/>
    <w:uiPriority w:val="99"/>
    <w:semiHidden/>
    <w:unhideWhenUsed/>
    <w:rsid w:val="00A9757E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contentassets/5eaf66ac392143b3b2054aed90b85210/strategi_antibiotikaresistens_230615.pdf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nk.springer.com/epdf/10.1186/s12889-019-6409-x?author_access_token=n003z6RNPUsdImgO3l2GyG_BpE1tBhCbnbw3BuzI2RPqDgc4EKCfMMpL5CO-U1MHXeD5VqodVxLg1MsVsaMGCzhm11-nIkiJTTlf7n-MFCL4A04R2ns6TUujaaWodv1zhKWV_uLnS7iKbdJZyHLM9g%3D%3D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potekforeningen.sharepoint.com/sites/fellesdokumenter/Apotekforeningen/Kommunikasjon/BS%20og%20analyser/Antibiotika%202010-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potekforeningen.sharepoint.com/sites/fellesdokumenter/Apotekforeningen/Kommunikasjon/BS%20og%20analyser/Antibiotika%202010-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Prosentvis nedgang i antibiotikabruk - målt i antall ddd pr innbygger (2012=0)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Hovedark!$D$54</c:f>
              <c:strCache>
                <c:ptCount val="1"/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6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AE89-4F2A-98CA-F1411AECC8E1}"/>
              </c:ext>
            </c:extLst>
          </c:dPt>
          <c:dPt>
            <c:idx val="7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AE89-4F2A-98CA-F1411AECC8E1}"/>
              </c:ext>
            </c:extLst>
          </c:dPt>
          <c:dPt>
            <c:idx val="8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AE89-4F2A-98CA-F1411AECC8E1}"/>
              </c:ext>
            </c:extLst>
          </c:dPt>
          <c:cat>
            <c:numRef>
              <c:f>Hovedark!$E$51:$M$51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Hovedark!$E$65:$M$65</c:f>
              <c:numCache>
                <c:formatCode>0.0\ %</c:formatCode>
                <c:ptCount val="9"/>
                <c:pt idx="0" formatCode="0%">
                  <c:v>0</c:v>
                </c:pt>
                <c:pt idx="1">
                  <c:v>-4.5791723650118521E-2</c:v>
                </c:pt>
                <c:pt idx="2">
                  <c:v>-8.3272952790201638E-2</c:v>
                </c:pt>
                <c:pt idx="3">
                  <c:v>-0.10661514392233806</c:v>
                </c:pt>
                <c:pt idx="4">
                  <c:v>-0.15556625994513373</c:v>
                </c:pt>
                <c:pt idx="5">
                  <c:v>-0.19930259150036833</c:v>
                </c:pt>
                <c:pt idx="6">
                  <c:v>-0.22968632427197888</c:v>
                </c:pt>
                <c:pt idx="7">
                  <c:v>-0.26576552547337917</c:v>
                </c:pt>
                <c:pt idx="8">
                  <c:v>-0.3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E89-4F2A-98CA-F1411AECC8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0676536"/>
        <c:axId val="720678176"/>
      </c:lineChart>
      <c:catAx>
        <c:axId val="720676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20678176"/>
        <c:crosses val="autoZero"/>
        <c:auto val="1"/>
        <c:lblAlgn val="ctr"/>
        <c:lblOffset val="100"/>
        <c:noMultiLvlLbl val="0"/>
      </c:catAx>
      <c:valAx>
        <c:axId val="720678176"/>
        <c:scaling>
          <c:orientation val="minMax"/>
          <c:min val="-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20676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nb-NO" sz="1200" b="0" i="0" baseline="0">
                <a:effectLst/>
              </a:rPr>
              <a:t>Antibiotika: DDD/1000 innbygger og reduksjon siden 2012 - fylker</a:t>
            </a:r>
            <a:endParaRPr lang="nb-NO" sz="105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'Fylke u Hiprex'!$P$4</c:f>
              <c:strCache>
                <c:ptCount val="1"/>
                <c:pt idx="0">
                  <c:v>DDD/1000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'Fylke u Hiprex'!$K$5:$K$24</c:f>
              <c:strCache>
                <c:ptCount val="20"/>
                <c:pt idx="0">
                  <c:v>Finnmark </c:v>
                </c:pt>
                <c:pt idx="1">
                  <c:v>Sogn og Fjordane</c:v>
                </c:pt>
                <c:pt idx="2">
                  <c:v>Troms</c:v>
                </c:pt>
                <c:pt idx="3">
                  <c:v>Akershus</c:v>
                </c:pt>
                <c:pt idx="4">
                  <c:v>Nordland</c:v>
                </c:pt>
                <c:pt idx="5">
                  <c:v>Hedmark</c:v>
                </c:pt>
                <c:pt idx="6">
                  <c:v>Buskerud</c:v>
                </c:pt>
                <c:pt idx="7">
                  <c:v>Sør-Trøndelag</c:v>
                </c:pt>
                <c:pt idx="8">
                  <c:v>Rogaland</c:v>
                </c:pt>
                <c:pt idx="9">
                  <c:v>Telemark</c:v>
                </c:pt>
                <c:pt idx="10">
                  <c:v>Møre og Romsdal</c:v>
                </c:pt>
                <c:pt idx="11">
                  <c:v>Norge</c:v>
                </c:pt>
                <c:pt idx="12">
                  <c:v>Oppland</c:v>
                </c:pt>
                <c:pt idx="13">
                  <c:v>Oslo</c:v>
                </c:pt>
                <c:pt idx="14">
                  <c:v>Vestfold</c:v>
                </c:pt>
                <c:pt idx="15">
                  <c:v>Nord-Trøndelag</c:v>
                </c:pt>
                <c:pt idx="16">
                  <c:v>Hordaland</c:v>
                </c:pt>
                <c:pt idx="17">
                  <c:v>Aust-Agder</c:v>
                </c:pt>
                <c:pt idx="18">
                  <c:v>Østfold</c:v>
                </c:pt>
                <c:pt idx="19">
                  <c:v>Vest-Agder</c:v>
                </c:pt>
              </c:strCache>
            </c:strRef>
          </c:cat>
          <c:val>
            <c:numRef>
              <c:f>'Fylke u Hiprex'!$P$5:$P$24</c:f>
              <c:numCache>
                <c:formatCode>_(* #,##0_);_(* \(#,##0\);_(* "-"??_);_(@_)</c:formatCode>
                <c:ptCount val="20"/>
                <c:pt idx="0">
                  <c:v>3240.9936096735146</c:v>
                </c:pt>
                <c:pt idx="1">
                  <c:v>3431.0196316156926</c:v>
                </c:pt>
                <c:pt idx="2">
                  <c:v>3509.211919825329</c:v>
                </c:pt>
                <c:pt idx="3">
                  <c:v>3593.9650187874768</c:v>
                </c:pt>
                <c:pt idx="4">
                  <c:v>3731.3509518770088</c:v>
                </c:pt>
                <c:pt idx="5">
                  <c:v>3746.4179351156877</c:v>
                </c:pt>
                <c:pt idx="6">
                  <c:v>3818.4503968995441</c:v>
                </c:pt>
                <c:pt idx="7">
                  <c:v>3821.7384026931813</c:v>
                </c:pt>
                <c:pt idx="8">
                  <c:v>3867.2257851670133</c:v>
                </c:pt>
                <c:pt idx="9">
                  <c:v>3872.727774648024</c:v>
                </c:pt>
                <c:pt idx="10">
                  <c:v>3892.5774590565447</c:v>
                </c:pt>
                <c:pt idx="11">
                  <c:v>3913.7382597421338</c:v>
                </c:pt>
                <c:pt idx="12">
                  <c:v>3950.9307462105262</c:v>
                </c:pt>
                <c:pt idx="13">
                  <c:v>3982.0003622245808</c:v>
                </c:pt>
                <c:pt idx="14">
                  <c:v>3996.1950607127269</c:v>
                </c:pt>
                <c:pt idx="15">
                  <c:v>4021.2421128890787</c:v>
                </c:pt>
                <c:pt idx="16">
                  <c:v>4109.391597570695</c:v>
                </c:pt>
                <c:pt idx="17">
                  <c:v>4190.0230179573591</c:v>
                </c:pt>
                <c:pt idx="18">
                  <c:v>4548.4986498408862</c:v>
                </c:pt>
                <c:pt idx="19">
                  <c:v>4589.3368720808858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72-443B-887F-AB24BA8B8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24421472"/>
        <c:axId val="824420816"/>
      </c:barChart>
      <c:lineChart>
        <c:grouping val="standard"/>
        <c:varyColors val="0"/>
        <c:ser>
          <c:idx val="1"/>
          <c:order val="1"/>
          <c:tx>
            <c:strRef>
              <c:f>'Fylke u Hiprex'!$Q$4</c:f>
              <c:strCache>
                <c:ptCount val="1"/>
                <c:pt idx="0">
                  <c:v>Endring 2012-18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'Fylke u Hiprex'!$K$5:$K$24</c:f>
              <c:strCache>
                <c:ptCount val="20"/>
                <c:pt idx="0">
                  <c:v>Finnmark </c:v>
                </c:pt>
                <c:pt idx="1">
                  <c:v>Sogn og Fjordane</c:v>
                </c:pt>
                <c:pt idx="2">
                  <c:v>Troms</c:v>
                </c:pt>
                <c:pt idx="3">
                  <c:v>Akershus</c:v>
                </c:pt>
                <c:pt idx="4">
                  <c:v>Nordland</c:v>
                </c:pt>
                <c:pt idx="5">
                  <c:v>Hedmark</c:v>
                </c:pt>
                <c:pt idx="6">
                  <c:v>Buskerud</c:v>
                </c:pt>
                <c:pt idx="7">
                  <c:v>Sør-Trøndelag</c:v>
                </c:pt>
                <c:pt idx="8">
                  <c:v>Rogaland</c:v>
                </c:pt>
                <c:pt idx="9">
                  <c:v>Telemark</c:v>
                </c:pt>
                <c:pt idx="10">
                  <c:v>Møre og Romsdal</c:v>
                </c:pt>
                <c:pt idx="11">
                  <c:v>Norge</c:v>
                </c:pt>
                <c:pt idx="12">
                  <c:v>Oppland</c:v>
                </c:pt>
                <c:pt idx="13">
                  <c:v>Oslo</c:v>
                </c:pt>
                <c:pt idx="14">
                  <c:v>Vestfold</c:v>
                </c:pt>
                <c:pt idx="15">
                  <c:v>Nord-Trøndelag</c:v>
                </c:pt>
                <c:pt idx="16">
                  <c:v>Hordaland</c:v>
                </c:pt>
                <c:pt idx="17">
                  <c:v>Aust-Agder</c:v>
                </c:pt>
                <c:pt idx="18">
                  <c:v>Østfold</c:v>
                </c:pt>
                <c:pt idx="19">
                  <c:v>Vest-Agder</c:v>
                </c:pt>
              </c:strCache>
            </c:strRef>
          </c:cat>
          <c:val>
            <c:numRef>
              <c:f>'Fylke u Hiprex'!$Q$5:$Q$24</c:f>
              <c:numCache>
                <c:formatCode>0.0\ %</c:formatCode>
                <c:ptCount val="20"/>
                <c:pt idx="0">
                  <c:v>-0.23886069716977409</c:v>
                </c:pt>
                <c:pt idx="1">
                  <c:v>-0.24586892625720091</c:v>
                </c:pt>
                <c:pt idx="2">
                  <c:v>-0.21346775715326827</c:v>
                </c:pt>
                <c:pt idx="3">
                  <c:v>-0.26122224162831276</c:v>
                </c:pt>
                <c:pt idx="4">
                  <c:v>-0.17623424897079287</c:v>
                </c:pt>
                <c:pt idx="5">
                  <c:v>-0.24657068091410217</c:v>
                </c:pt>
                <c:pt idx="6">
                  <c:v>-0.2393217514606425</c:v>
                </c:pt>
                <c:pt idx="7">
                  <c:v>-0.22914644335555723</c:v>
                </c:pt>
                <c:pt idx="8">
                  <c:v>-0.20928457354252061</c:v>
                </c:pt>
                <c:pt idx="9">
                  <c:v>-0.1516960481330849</c:v>
                </c:pt>
                <c:pt idx="10">
                  <c:v>-0.21958134858601053</c:v>
                </c:pt>
                <c:pt idx="11">
                  <c:v>-0.23533409945942563</c:v>
                </c:pt>
                <c:pt idx="12">
                  <c:v>-0.22866962981796757</c:v>
                </c:pt>
                <c:pt idx="13">
                  <c:v>-0.29421784453280753</c:v>
                </c:pt>
                <c:pt idx="14">
                  <c:v>-0.23007335283767827</c:v>
                </c:pt>
                <c:pt idx="15">
                  <c:v>-0.22860009981030427</c:v>
                </c:pt>
                <c:pt idx="16">
                  <c:v>-0.20718168216232458</c:v>
                </c:pt>
                <c:pt idx="17">
                  <c:v>-0.2155106482038629</c:v>
                </c:pt>
                <c:pt idx="18">
                  <c:v>-0.25861952575066915</c:v>
                </c:pt>
                <c:pt idx="19">
                  <c:v>-0.23184487894040218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72-443B-887F-AB24BA8B8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0800864"/>
        <c:axId val="350803160"/>
      </c:lineChart>
      <c:catAx>
        <c:axId val="82442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24420816"/>
        <c:crosses val="autoZero"/>
        <c:auto val="1"/>
        <c:lblAlgn val="ctr"/>
        <c:lblOffset val="100"/>
        <c:noMultiLvlLbl val="0"/>
      </c:catAx>
      <c:valAx>
        <c:axId val="82442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24421472"/>
        <c:crosses val="autoZero"/>
        <c:crossBetween val="between"/>
      </c:valAx>
      <c:valAx>
        <c:axId val="350803160"/>
        <c:scaling>
          <c:orientation val="maxMin"/>
        </c:scaling>
        <c:delete val="0"/>
        <c:axPos val="r"/>
        <c:numFmt formatCode="0.0\ 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50800864"/>
        <c:crosses val="max"/>
        <c:crossBetween val="between"/>
      </c:valAx>
      <c:catAx>
        <c:axId val="35080086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50803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36aabc61804786b17d87c3dfb27c01 xmlns="38617f60-4c9b-423b-b3fd-7f318fd389d0">
      <Terms xmlns="http://schemas.microsoft.com/office/infopath/2007/PartnerControls"/>
    </j536aabc61804786b17d87c3dfb27c01>
    <pa2315e334c6436daf9b5bf22dea0e3a xmlns="38617f60-4c9b-423b-b3fd-7f318fd389d0">
      <Terms xmlns="http://schemas.microsoft.com/office/infopath/2007/PartnerControls"/>
    </pa2315e334c6436daf9b5bf22dea0e3a>
    <TaxCatchAll xmlns="38617f60-4c9b-423b-b3fd-7f318fd389d0"/>
    <ied0f2d926b449bb8e0666d256d2a59d xmlns="38617f60-4c9b-423b-b3fd-7f318fd389d0">
      <Terms xmlns="http://schemas.microsoft.com/office/infopath/2007/PartnerControls"/>
    </ied0f2d926b449bb8e0666d256d2a59d>
    <pd74f21207ce45269754dbcaa1a59a30 xmlns="38617f60-4c9b-423b-b3fd-7f318fd389d0">
      <Terms xmlns="http://schemas.microsoft.com/office/infopath/2007/PartnerControls"/>
    </pd74f21207ce45269754dbcaa1a59a30>
    <Møtedato xmlns="38617f60-4c9b-423b-b3fd-7f318fd389d0" xsi:nil="true"/>
    <o17d389264fb41a8ae8b076d39f8477a xmlns="38617f60-4c9b-423b-b3fd-7f318fd389d0">
      <Terms xmlns="http://schemas.microsoft.com/office/infopath/2007/PartnerControls"/>
    </o17d389264fb41a8ae8b076d39f8477a>
    <g332fe4ac2044373a5f88a2c495ee6c7 xmlns="38617f60-4c9b-423b-b3fd-7f318fd389d0">
      <Terms xmlns="http://schemas.microsoft.com/office/infopath/2007/PartnerControls"/>
    </g332fe4ac2044373a5f88a2c495ee6c7>
    <ff79eaf35576492794b66ce8d177c815 xmlns="38617f60-4c9b-423b-b3fd-7f318fd389d0">
      <Terms xmlns="http://schemas.microsoft.com/office/infopath/2007/PartnerControls"/>
    </ff79eaf35576492794b66ce8d177c815>
  </documentManagement>
</p:properties>
</file>

<file path=customXml/item3.xml><?xml version="1.0" encoding="utf-8"?>
<?mso-contentType ?>
<SharedContentType xmlns="Microsoft.SharePoint.Taxonomy.ContentTypeSync" SourceId="802b23cb-8031-4700-a80b-a87f4c109c63" ContentTypeId="0x0101008BCE626DEAD7CE48825EA5CCE2D3B06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(Word)" ma:contentTypeID="0x0101008BCE626DEAD7CE48825EA5CCE2D3B06D007F8281B4B9516E479C20DF00FF22410A" ma:contentTypeVersion="17" ma:contentTypeDescription="" ma:contentTypeScope="" ma:versionID="00bd40a48cfb9c8c3cefecce97f8c8ec">
  <xsd:schema xmlns:xsd="http://www.w3.org/2001/XMLSchema" xmlns:xs="http://www.w3.org/2001/XMLSchema" xmlns:p="http://schemas.microsoft.com/office/2006/metadata/properties" xmlns:ns2="38617f60-4c9b-423b-b3fd-7f318fd389d0" targetNamespace="http://schemas.microsoft.com/office/2006/metadata/properties" ma:root="true" ma:fieldsID="14423146964f2b608c7634dbb93f5a6c" ns2:_="">
    <xsd:import namespace="38617f60-4c9b-423b-b3fd-7f318fd389d0"/>
    <xsd:element name="properties">
      <xsd:complexType>
        <xsd:sequence>
          <xsd:element name="documentManagement">
            <xsd:complexType>
              <xsd:all>
                <xsd:element ref="ns2:g332fe4ac2044373a5f88a2c495ee6c7" minOccurs="0"/>
                <xsd:element ref="ns2:TaxCatchAll" minOccurs="0"/>
                <xsd:element ref="ns2:TaxCatchAllLabel" minOccurs="0"/>
                <xsd:element ref="ns2:pa2315e334c6436daf9b5bf22dea0e3a" minOccurs="0"/>
                <xsd:element ref="ns2:o17d389264fb41a8ae8b076d39f8477a" minOccurs="0"/>
                <xsd:element ref="ns2:Møtedato" minOccurs="0"/>
                <xsd:element ref="ns2:ied0f2d926b449bb8e0666d256d2a59d" minOccurs="0"/>
                <xsd:element ref="ns2:j536aabc61804786b17d87c3dfb27c01" minOccurs="0"/>
                <xsd:element ref="ns2:pd74f21207ce45269754dbcaa1a59a30" minOccurs="0"/>
                <xsd:element ref="ns2:ff79eaf35576492794b66ce8d177c81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17f60-4c9b-423b-b3fd-7f318fd389d0" elementFormDefault="qualified">
    <xsd:import namespace="http://schemas.microsoft.com/office/2006/documentManagement/types"/>
    <xsd:import namespace="http://schemas.microsoft.com/office/infopath/2007/PartnerControls"/>
    <xsd:element name="g332fe4ac2044373a5f88a2c495ee6c7" ma:index="8" nillable="true" ma:taxonomy="true" ma:internalName="g332fe4ac2044373a5f88a2c495ee6c7" ma:taxonomyFieldName="Arbeidsomr_x00e5_der" ma:displayName="Arbeidsområder" ma:readOnly="false" ma:default="" ma:fieldId="{0332fe4a-c204-4373-a5f8-8a2c495ee6c7}" ma:taxonomyMulti="true" ma:sspId="802b23cb-8031-4700-a80b-a87f4c109c63" ma:termSetId="4befb247-0c75-41dc-a5b9-46a371410923" ma:anchorId="ada1ae18-f60a-48ef-9140-2a38e93a3168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ea01f8e-8b80-4cea-b317-cc49839f9465}" ma:internalName="TaxCatchAll" ma:showField="CatchAllData" ma:web="132211e4-4084-494d-8fdd-0f60f0436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ea01f8e-8b80-4cea-b317-cc49839f9465}" ma:internalName="TaxCatchAllLabel" ma:readOnly="true" ma:showField="CatchAllDataLabel" ma:web="132211e4-4084-494d-8fdd-0f60f0436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2315e334c6436daf9b5bf22dea0e3a" ma:index="12" nillable="true" ma:taxonomy="true" ma:internalName="pa2315e334c6436daf9b5bf22dea0e3a" ma:taxonomyFieldName="Dokumenttype" ma:displayName="Dokumenttype" ma:readOnly="false" ma:default="" ma:fieldId="{9a2315e3-34c6-436d-af9b-5bf22dea0e3a}" ma:taxonomyMulti="true" ma:sspId="802b23cb-8031-4700-a80b-a87f4c109c63" ma:termSetId="4befb247-0c75-41dc-a5b9-46a371410923" ma:anchorId="41755e95-b175-400f-9d59-54eafb7b2d1e" ma:open="false" ma:isKeyword="false">
      <xsd:complexType>
        <xsd:sequence>
          <xsd:element ref="pc:Terms" minOccurs="0" maxOccurs="1"/>
        </xsd:sequence>
      </xsd:complexType>
    </xsd:element>
    <xsd:element name="o17d389264fb41a8ae8b076d39f8477a" ma:index="14" nillable="true" ma:taxonomy="true" ma:internalName="o17d389264fb41a8ae8b076d39f8477a" ma:taxonomyFieldName="Egendefinert" ma:displayName="Egendefinert" ma:default="" ma:fieldId="{817d3892-64fb-41a8-ae8b-076d39f8477a}" ma:taxonomyMulti="true" ma:sspId="802b23cb-8031-4700-a80b-a87f4c109c63" ma:termSetId="4befb247-0c75-41dc-a5b9-46a371410923" ma:anchorId="1cb31fba-cd27-4d58-8b1f-895147011b57" ma:open="true" ma:isKeyword="false">
      <xsd:complexType>
        <xsd:sequence>
          <xsd:element ref="pc:Terms" minOccurs="0" maxOccurs="1"/>
        </xsd:sequence>
      </xsd:complexType>
    </xsd:element>
    <xsd:element name="Møtedato" ma:index="16" nillable="true" ma:displayName="Møtedato" ma:format="DateOnly" ma:internalName="M_x00f8_tedato">
      <xsd:simpleType>
        <xsd:restriction base="dms:DateTime"/>
      </xsd:simpleType>
    </xsd:element>
    <xsd:element name="ied0f2d926b449bb8e0666d256d2a59d" ma:index="17" nillable="true" ma:taxonomy="true" ma:internalName="ied0f2d926b449bb8e0666d256d2a59d" ma:taxonomyFieldName="Prosjekter" ma:displayName="Prosjekter" ma:default="" ma:fieldId="{2ed0f2d9-26b4-49bb-8e06-66d256d2a59d}" ma:taxonomyMulti="true" ma:sspId="802b23cb-8031-4700-a80b-a87f4c109c63" ma:termSetId="4befb247-0c75-41dc-a5b9-46a371410923" ma:anchorId="cc62615a-2c21-4aca-b167-ff308cd4946c" ma:open="false" ma:isKeyword="false">
      <xsd:complexType>
        <xsd:sequence>
          <xsd:element ref="pc:Terms" minOccurs="0" maxOccurs="1"/>
        </xsd:sequence>
      </xsd:complexType>
    </xsd:element>
    <xsd:element name="j536aabc61804786b17d87c3dfb27c01" ma:index="19" nillable="true" ma:taxonomy="true" ma:internalName="j536aabc61804786b17d87c3dfb27c01" ma:taxonomyFieldName="Selskap" ma:displayName="Selskap" ma:readOnly="false" ma:default="" ma:fieldId="{3536aabc-6180-4786-b17d-87c3dfb27c01}" ma:taxonomyMulti="true" ma:sspId="802b23cb-8031-4700-a80b-a87f4c109c63" ma:termSetId="4befb247-0c75-41dc-a5b9-46a371410923" ma:anchorId="c49b5e69-813b-494f-9298-b0e5a6c7c7d7" ma:open="false" ma:isKeyword="false">
      <xsd:complexType>
        <xsd:sequence>
          <xsd:element ref="pc:Terms" minOccurs="0" maxOccurs="1"/>
        </xsd:sequence>
      </xsd:complexType>
    </xsd:element>
    <xsd:element name="pd74f21207ce45269754dbcaa1a59a30" ma:index="21" nillable="true" ma:taxonomy="true" ma:internalName="pd74f21207ce45269754dbcaa1a59a30" ma:taxonomyFieldName="Temaer" ma:displayName="Temaer" ma:readOnly="false" ma:default="" ma:fieldId="{9d74f212-07ce-4526-9754-dbcaa1a59a30}" ma:taxonomyMulti="true" ma:sspId="802b23cb-8031-4700-a80b-a87f4c109c63" ma:termSetId="4befb247-0c75-41dc-a5b9-46a371410923" ma:anchorId="98e27f0f-5a1c-4181-908e-b70e4a386781" ma:open="false" ma:isKeyword="false">
      <xsd:complexType>
        <xsd:sequence>
          <xsd:element ref="pc:Terms" minOccurs="0" maxOccurs="1"/>
        </xsd:sequence>
      </xsd:complexType>
    </xsd:element>
    <xsd:element name="ff79eaf35576492794b66ce8d177c815" ma:index="23" nillable="true" ma:taxonomy="true" ma:internalName="ff79eaf35576492794b66ce8d177c815" ma:taxonomyFieldName="Utvalg" ma:displayName="Utvalg" ma:default="" ma:fieldId="{ff79eaf3-5576-4927-94b6-6ce8d177c815}" ma:taxonomyMulti="true" ma:sspId="802b23cb-8031-4700-a80b-a87f4c109c63" ma:termSetId="4befb247-0c75-41dc-a5b9-46a371410923" ma:anchorId="7ee5987a-df58-42d9-9158-6a5aa196b94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4454-AC75-49D4-9034-0F98B009E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589CE-4EAA-4A04-BB00-A01601851131}">
  <ds:schemaRefs>
    <ds:schemaRef ds:uri="http://schemas.microsoft.com/office/2006/metadata/properties"/>
    <ds:schemaRef ds:uri="http://schemas.microsoft.com/office/infopath/2007/PartnerControls"/>
    <ds:schemaRef ds:uri="38617f60-4c9b-423b-b3fd-7f318fd389d0"/>
  </ds:schemaRefs>
</ds:datastoreItem>
</file>

<file path=customXml/itemProps3.xml><?xml version="1.0" encoding="utf-8"?>
<ds:datastoreItem xmlns:ds="http://schemas.openxmlformats.org/officeDocument/2006/customXml" ds:itemID="{05AC6D29-576C-441F-A0C4-E661A8700D9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A43799-A430-4E0B-A3C8-DDE5F959C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17f60-4c9b-423b-b3fd-7f318fd38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140D83-C83D-4333-BD0F-D8A1E9F5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745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Ariansen</dc:creator>
  <cp:keywords/>
  <dc:description/>
  <cp:lastModifiedBy>Jostein Soldal</cp:lastModifiedBy>
  <cp:revision>102</cp:revision>
  <dcterms:created xsi:type="dcterms:W3CDTF">2019-01-23T13:13:00Z</dcterms:created>
  <dcterms:modified xsi:type="dcterms:W3CDTF">2019-01-24T14:18:00Z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28</vt:lpwstr>
  </property>
  <property fmtid="{D5CDD505-2E9C-101B-9397-08002B2CF9AE}" pid="3" name="ContentTypeId">
    <vt:lpwstr>0x0101008BCE626DEAD7CE48825EA5CCE2D3B06D007F8281B4B9516E479C20DF00FF22410A</vt:lpwstr>
  </property>
  <property fmtid="{D5CDD505-2E9C-101B-9397-08002B2CF9AE}" pid="4" name="Egendefinert">
    <vt:lpwstr/>
  </property>
  <property fmtid="{D5CDD505-2E9C-101B-9397-08002B2CF9AE}" pid="5" name="Arbeidsområder">
    <vt:lpwstr/>
  </property>
  <property fmtid="{D5CDD505-2E9C-101B-9397-08002B2CF9AE}" pid="6" name="Utvalg">
    <vt:lpwstr/>
  </property>
  <property fmtid="{D5CDD505-2E9C-101B-9397-08002B2CF9AE}" pid="7" name="Prosjekter">
    <vt:lpwstr/>
  </property>
  <property fmtid="{D5CDD505-2E9C-101B-9397-08002B2CF9AE}" pid="8" name="Dokumenttype">
    <vt:lpwstr/>
  </property>
  <property fmtid="{D5CDD505-2E9C-101B-9397-08002B2CF9AE}" pid="9" name="Temaer">
    <vt:lpwstr/>
  </property>
  <property fmtid="{D5CDD505-2E9C-101B-9397-08002B2CF9AE}" pid="10" name="Selskap">
    <vt:lpwstr/>
  </property>
  <property fmtid="{D5CDD505-2E9C-101B-9397-08002B2CF9AE}" pid="11" name="SharedWithUsers">
    <vt:lpwstr>33;#Per Kristian Faksvåg;#35;#Hilde Ariansen;#43;#Vendil Åse</vt:lpwstr>
  </property>
  <property fmtid="{D5CDD505-2E9C-101B-9397-08002B2CF9AE}" pid="12" name="AuthorIds_UIVersion_7168">
    <vt:lpwstr>28,33</vt:lpwstr>
  </property>
  <property fmtid="{D5CDD505-2E9C-101B-9397-08002B2CF9AE}" pid="13" name="AuthorIds_UIVersion_8704">
    <vt:lpwstr>28</vt:lpwstr>
  </property>
</Properties>
</file>