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AE" w:rsidRDefault="00E25AAE" w:rsidP="00E25AAE">
      <w:pPr>
        <w:pStyle w:val="Strrerubrik"/>
      </w:pPr>
      <w:r w:rsidRPr="00B6030E">
        <w:t>Rektors förord</w:t>
      </w:r>
    </w:p>
    <w:tbl>
      <w:tblPr>
        <w:tblW w:w="9898" w:type="dxa"/>
        <w:tblLayout w:type="fixed"/>
        <w:tblLook w:val="01E0"/>
      </w:tblPr>
      <w:tblGrid>
        <w:gridCol w:w="7148"/>
        <w:gridCol w:w="2750"/>
      </w:tblGrid>
      <w:tr w:rsidR="00E25AAE" w:rsidRPr="00D15A00" w:rsidTr="00DD3994">
        <w:trPr>
          <w:trHeight w:val="4290"/>
        </w:trPr>
        <w:tc>
          <w:tcPr>
            <w:tcW w:w="7148" w:type="dxa"/>
          </w:tcPr>
          <w:p w:rsidR="00E25AAE" w:rsidRDefault="00E25AAE" w:rsidP="00DD3994">
            <w:pPr>
              <w:pStyle w:val="BrdtextR"/>
              <w:spacing w:after="120" w:line="240" w:lineRule="auto"/>
              <w:jc w:val="left"/>
              <w:rPr>
                <w:rFonts w:cs="Helv"/>
              </w:rPr>
            </w:pPr>
            <w:r w:rsidRPr="00E43E8E">
              <w:rPr>
                <w:rFonts w:cs="Helv"/>
              </w:rPr>
              <w:t>Varsågod, så här såg 2010 års verksamhet ut för BTH!</w:t>
            </w:r>
            <w:r>
              <w:rPr>
                <w:rFonts w:cs="Helv"/>
              </w:rPr>
              <w:t xml:space="preserve"> 2010 har präglats av forskning, utbildning och innovation, men också av utveckling av nya affärsmodeller, nya partnerskap och kvalitetshöjande insatser. </w:t>
            </w:r>
            <w:r w:rsidRPr="003047FB">
              <w:rPr>
                <w:rFonts w:cs="Helv"/>
              </w:rPr>
              <w:t xml:space="preserve">Vi har </w:t>
            </w:r>
            <w:r>
              <w:rPr>
                <w:rFonts w:cs="Helv"/>
              </w:rPr>
              <w:t>precis som tidigare år</w:t>
            </w:r>
            <w:r w:rsidRPr="003047FB">
              <w:rPr>
                <w:rFonts w:cs="Helv"/>
              </w:rPr>
              <w:t xml:space="preserve"> arbetat på regional, nationell och internationell nivå</w:t>
            </w:r>
            <w:r>
              <w:rPr>
                <w:rFonts w:cs="Helv"/>
              </w:rPr>
              <w:t>, med spridning av kunskap och kompetens via samarbeten och nätverk.</w:t>
            </w:r>
          </w:p>
          <w:p w:rsidR="00E25AAE" w:rsidRDefault="00E25AAE" w:rsidP="00DD3994">
            <w:pPr>
              <w:pStyle w:val="BrdtextR"/>
              <w:spacing w:after="120" w:line="240" w:lineRule="auto"/>
              <w:jc w:val="left"/>
              <w:rPr>
                <w:rFonts w:cs="Helv"/>
              </w:rPr>
            </w:pPr>
            <w:r w:rsidRPr="003E6E2A">
              <w:t xml:space="preserve">Det ekonomiska rörelseresultatet är något bättre än budgeterat (-0,031 </w:t>
            </w:r>
            <w:r>
              <w:t>m</w:t>
            </w:r>
            <w:r w:rsidRPr="003E6E2A">
              <w:t xml:space="preserve">kr jfr med -0,851 </w:t>
            </w:r>
            <w:r>
              <w:t>m</w:t>
            </w:r>
            <w:r w:rsidRPr="003E6E2A">
              <w:t xml:space="preserve">kr). Intäkterna uppgick till 484 </w:t>
            </w:r>
            <w:r>
              <w:t>m</w:t>
            </w:r>
            <w:r w:rsidRPr="003E6E2A">
              <w:t xml:space="preserve">kr, vilket är en ökning med 40 </w:t>
            </w:r>
            <w:r>
              <w:t>m</w:t>
            </w:r>
            <w:r w:rsidRPr="003E6E2A">
              <w:t>kr (+ 9</w:t>
            </w:r>
            <w:r>
              <w:t xml:space="preserve"> </w:t>
            </w:r>
            <w:r w:rsidRPr="003E6E2A">
              <w:t xml:space="preserve">%) jämfört med 2009, men ca 32 </w:t>
            </w:r>
            <w:r>
              <w:t>m</w:t>
            </w:r>
            <w:r w:rsidRPr="003E6E2A">
              <w:t>kr lägre än budget. Andelen intäkter avsedd till forskning har minskat något från 33</w:t>
            </w:r>
            <w:r>
              <w:t> </w:t>
            </w:r>
            <w:r w:rsidRPr="003E6E2A">
              <w:t>% 2009 till 31</w:t>
            </w:r>
            <w:r>
              <w:t xml:space="preserve"> </w:t>
            </w:r>
            <w:r w:rsidRPr="003E6E2A">
              <w:t>% 2010 (men samma andel som för 2008). Förklaringen till detta finns bland annat i den ökade utbildningsverksamheten</w:t>
            </w:r>
            <w:r>
              <w:t xml:space="preserve"> </w:t>
            </w:r>
            <w:r w:rsidRPr="003E6E2A">
              <w:t>och arbete med flytt och nytt huvudcampus under pågående verksamhet.</w:t>
            </w:r>
          </w:p>
          <w:p w:rsidR="00E25AAE" w:rsidRPr="00D15A00" w:rsidRDefault="00E25AAE" w:rsidP="00DD3994">
            <w:pPr>
              <w:pStyle w:val="BrdtextR"/>
              <w:spacing w:after="120" w:line="240" w:lineRule="auto"/>
              <w:jc w:val="left"/>
            </w:pPr>
            <w:r>
              <w:rPr>
                <w:rFonts w:cs="Helv"/>
              </w:rPr>
              <w:t>Aldrig tidigare har BTH haft så många helårsprestationer (HPR) och helårsstudenter (HST) som 2010, 3 177 HPR respektive 4 235 HST, vilket är en ökning med ca 9 % respektive 7 % HST.</w:t>
            </w:r>
          </w:p>
        </w:tc>
        <w:tc>
          <w:tcPr>
            <w:tcW w:w="2750" w:type="dxa"/>
          </w:tcPr>
          <w:p w:rsidR="00E25AAE" w:rsidRPr="00D15A00" w:rsidRDefault="00E25AAE" w:rsidP="00DD3994">
            <w:pPr>
              <w:spacing w:after="120"/>
              <w:ind w:right="-49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764030" cy="2642235"/>
                  <wp:effectExtent l="19050" t="0" r="7620" b="0"/>
                  <wp:docPr id="1" name="Bild 1" descr="Ursula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sula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264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AAE" w:rsidRDefault="00E25AAE" w:rsidP="00E25AAE">
      <w:pPr>
        <w:pStyle w:val="BrdtextR"/>
        <w:spacing w:after="120" w:line="240" w:lineRule="auto"/>
        <w:ind w:right="-428"/>
        <w:jc w:val="left"/>
        <w:rPr>
          <w:rFonts w:cs="Helv"/>
        </w:rPr>
      </w:pPr>
      <w:r>
        <w:rPr>
          <w:rFonts w:cs="Helv"/>
        </w:rPr>
        <w:t xml:space="preserve">Stort söktryck, utökat utbildningsuppdrag och ytterligare ökad prestationsgrad från 73 % till 75 % utgör de främsta framgångsfaktorerna. Under året har 934 examina utfärdats vilket också det är en ökning jämfört med 2009 (+13 %). BTH:s prestation för examina inom civilingenjörsutbildningen och sjuksköterskeutbildningen ligger även i år, väl i paritet med högskolans </w:t>
      </w:r>
      <w:r w:rsidRPr="00191C96">
        <w:rPr>
          <w:rFonts w:cs="Helv"/>
        </w:rPr>
        <w:t>mål.</w:t>
      </w:r>
    </w:p>
    <w:p w:rsidR="00E25AAE" w:rsidRDefault="00E25AAE" w:rsidP="00E25AAE">
      <w:pPr>
        <w:pStyle w:val="BrdtextR"/>
        <w:spacing w:after="120" w:line="240" w:lineRule="auto"/>
        <w:ind w:right="-428"/>
        <w:jc w:val="left"/>
        <w:rPr>
          <w:rFonts w:cs="Helv"/>
        </w:rPr>
      </w:pPr>
      <w:r>
        <w:rPr>
          <w:rFonts w:cs="Helv"/>
        </w:rPr>
        <w:t>Förberedelsearbetet inför att tredjelandsstudenter ska börja betala studieavgift har varit intensivt under 2010. Vi har slutit avtal med partneruniversitet främst i Indien och Kina, samtidigt som vi har arbetat på kvalitetssäkring och utformning av erbjudanden.</w:t>
      </w:r>
    </w:p>
    <w:p w:rsidR="00E25AAE" w:rsidRDefault="00E25AAE" w:rsidP="00E25AAE">
      <w:pPr>
        <w:pStyle w:val="BrdtextR"/>
        <w:spacing w:after="120" w:line="240" w:lineRule="auto"/>
        <w:ind w:right="-428"/>
        <w:jc w:val="left"/>
        <w:rPr>
          <w:rFonts w:cs="Helv"/>
        </w:rPr>
      </w:pPr>
      <w:r>
        <w:rPr>
          <w:rFonts w:cs="Helv"/>
        </w:rPr>
        <w:t>Genom forskning producerar vi kunskap och kompetens som på olika sätt används både i forsknings</w:t>
      </w:r>
      <w:r>
        <w:rPr>
          <w:rFonts w:cs="Helv"/>
        </w:rPr>
        <w:softHyphen/>
        <w:t xml:space="preserve">världen, näringsliv och samhälle. Många nya forskningssamarbeten har startat upp under 2010 och </w:t>
      </w:r>
      <w:r w:rsidRPr="00536464">
        <w:t>”</w:t>
      </w:r>
      <w:proofErr w:type="spellStart"/>
      <w:r w:rsidRPr="00536464">
        <w:rPr>
          <w:rStyle w:val="Betoning"/>
        </w:rPr>
        <w:t>eLLIIT</w:t>
      </w:r>
      <w:proofErr w:type="spellEnd"/>
      <w:r w:rsidRPr="00536464">
        <w:rPr>
          <w:rStyle w:val="Betoning"/>
        </w:rPr>
        <w:t>: The Linköpin</w:t>
      </w:r>
      <w:r>
        <w:rPr>
          <w:rStyle w:val="Betoning"/>
        </w:rPr>
        <w:t xml:space="preserve">g – </w:t>
      </w:r>
      <w:r w:rsidRPr="00536464">
        <w:rPr>
          <w:rStyle w:val="Betoning"/>
        </w:rPr>
        <w:t xml:space="preserve">Lund </w:t>
      </w:r>
      <w:proofErr w:type="spellStart"/>
      <w:r w:rsidRPr="00536464">
        <w:rPr>
          <w:rStyle w:val="Betoning"/>
        </w:rPr>
        <w:t>Initiative</w:t>
      </w:r>
      <w:proofErr w:type="spellEnd"/>
      <w:r w:rsidRPr="00536464">
        <w:rPr>
          <w:rStyle w:val="Betoning"/>
        </w:rPr>
        <w:t xml:space="preserve"> on IT and Mobile Communication</w:t>
      </w:r>
      <w:r>
        <w:rPr>
          <w:rStyle w:val="Betoning"/>
        </w:rPr>
        <w:t xml:space="preserve">”, </w:t>
      </w:r>
      <w:r w:rsidRPr="00F501C8">
        <w:rPr>
          <w:rStyle w:val="Betoning"/>
          <w:i w:val="0"/>
        </w:rPr>
        <w:t>som BTH är en del av, har tagit fart på ett mycket lovande sätt</w:t>
      </w:r>
      <w:r w:rsidRPr="00F501C8">
        <w:rPr>
          <w:i/>
        </w:rPr>
        <w:t>.</w:t>
      </w:r>
      <w:r w:rsidRPr="00536464">
        <w:t xml:space="preserve"> </w:t>
      </w:r>
      <w:r>
        <w:t xml:space="preserve">Återigen placerar sig BTH högt på </w:t>
      </w:r>
      <w:proofErr w:type="spellStart"/>
      <w:r>
        <w:t>världs-</w:t>
      </w:r>
      <w:proofErr w:type="spellEnd"/>
      <w:r>
        <w:t xml:space="preserve"> och europarankingen när </w:t>
      </w:r>
      <w:r w:rsidRPr="00F40C8A">
        <w:t>tidskriften ”Journal of Systems and Soft</w:t>
      </w:r>
      <w:r>
        <w:softHyphen/>
      </w:r>
      <w:r w:rsidRPr="00F40C8A">
        <w:t>ware” rankar de f</w:t>
      </w:r>
      <w:r>
        <w:t>emton bästa universiteten i området</w:t>
      </w:r>
      <w:r w:rsidRPr="00F40C8A">
        <w:t>.</w:t>
      </w:r>
      <w:r>
        <w:t xml:space="preserve"> Under året har </w:t>
      </w:r>
      <w:r w:rsidRPr="00F501C8">
        <w:rPr>
          <w:rFonts w:cs="Helv"/>
        </w:rPr>
        <w:t>25</w:t>
      </w:r>
      <w:r>
        <w:rPr>
          <w:rFonts w:cs="Helv"/>
        </w:rPr>
        <w:t xml:space="preserve"> nya doktorander antagits </w:t>
      </w:r>
      <w:r w:rsidRPr="00B31F8D">
        <w:rPr>
          <w:rFonts w:cs="Helv"/>
        </w:rPr>
        <w:t xml:space="preserve">till forskarutbildning. </w:t>
      </w:r>
      <w:r w:rsidRPr="00B31F8D">
        <w:rPr>
          <w:rFonts w:cs="Courier"/>
        </w:rPr>
        <w:t xml:space="preserve">2010 har BTH ett rekordhögt antal inskrivna forskarstuderande samtidigt som genomströmningen har förbättrats avsevärt för dem som tog examen under 2010. </w:t>
      </w:r>
      <w:r>
        <w:rPr>
          <w:rFonts w:cs="Courier"/>
        </w:rPr>
        <w:t>Forskningens kvalitet står i fokus, vil</w:t>
      </w:r>
      <w:r>
        <w:rPr>
          <w:rFonts w:cs="Courier"/>
        </w:rPr>
        <w:softHyphen/>
        <w:t xml:space="preserve">ket syns tydligt genom att </w:t>
      </w:r>
      <w:r>
        <w:rPr>
          <w:rFonts w:cs="Helv"/>
        </w:rPr>
        <w:t>p</w:t>
      </w:r>
      <w:r w:rsidRPr="00B31F8D">
        <w:rPr>
          <w:rFonts w:cs="Helv"/>
        </w:rPr>
        <w:t>ublicering</w:t>
      </w:r>
      <w:r>
        <w:rPr>
          <w:rFonts w:cs="Helv"/>
        </w:rPr>
        <w:t>en</w:t>
      </w:r>
      <w:r w:rsidRPr="00B31F8D">
        <w:rPr>
          <w:rFonts w:cs="Helv"/>
        </w:rPr>
        <w:t xml:space="preserve"> av forskningsresultat som återfinns i ISI-databasen har ökat </w:t>
      </w:r>
      <w:r>
        <w:rPr>
          <w:rFonts w:cs="Helv"/>
        </w:rPr>
        <w:t>kraftigt jämfört med 2009 (+</w:t>
      </w:r>
      <w:r w:rsidRPr="00B31F8D">
        <w:rPr>
          <w:rFonts w:cs="Helv"/>
        </w:rPr>
        <w:t>25</w:t>
      </w:r>
      <w:r>
        <w:rPr>
          <w:rFonts w:cs="Helv"/>
        </w:rPr>
        <w:t xml:space="preserve"> </w:t>
      </w:r>
      <w:r w:rsidRPr="00B31F8D">
        <w:rPr>
          <w:rFonts w:cs="Helv"/>
        </w:rPr>
        <w:t>%).</w:t>
      </w:r>
    </w:p>
    <w:p w:rsidR="00E25AAE" w:rsidRDefault="00E25AAE" w:rsidP="00E25AAE">
      <w:pPr>
        <w:pStyle w:val="BrdtextR"/>
        <w:spacing w:after="120" w:line="240" w:lineRule="auto"/>
        <w:ind w:right="-428"/>
        <w:jc w:val="left"/>
        <w:rPr>
          <w:rFonts w:cs="Helv"/>
        </w:rPr>
      </w:pPr>
      <w:r w:rsidRPr="00B31F8D">
        <w:rPr>
          <w:rFonts w:cs="Helv"/>
        </w:rPr>
        <w:t xml:space="preserve">Samarbeten med näringsliv, organisationer och </w:t>
      </w:r>
      <w:r>
        <w:rPr>
          <w:rFonts w:cs="Helv"/>
        </w:rPr>
        <w:t>offentliga parter har under 2010</w:t>
      </w:r>
      <w:r w:rsidRPr="00B31F8D">
        <w:rPr>
          <w:rFonts w:cs="Helv"/>
        </w:rPr>
        <w:t xml:space="preserve"> fortsatt att ut</w:t>
      </w:r>
      <w:r>
        <w:rPr>
          <w:rFonts w:cs="Helv"/>
        </w:rPr>
        <w:softHyphen/>
      </w:r>
      <w:r w:rsidRPr="00B31F8D">
        <w:rPr>
          <w:rFonts w:cs="Helv"/>
        </w:rPr>
        <w:t>veck</w:t>
      </w:r>
      <w:r>
        <w:rPr>
          <w:rFonts w:cs="Helv"/>
        </w:rPr>
        <w:softHyphen/>
      </w:r>
      <w:r w:rsidRPr="00B31F8D">
        <w:rPr>
          <w:rFonts w:cs="Helv"/>
        </w:rPr>
        <w:t xml:space="preserve">las mycket positivt. </w:t>
      </w:r>
      <w:r>
        <w:rPr>
          <w:rFonts w:cs="Helv"/>
        </w:rPr>
        <w:t>Kvalificerade samarbeten sker med bl.a. globala koncerner som Ericsson, ABB, Vol</w:t>
      </w:r>
      <w:r>
        <w:rPr>
          <w:rFonts w:cs="Helv"/>
        </w:rPr>
        <w:softHyphen/>
        <w:t>vo och Thyssen Krupp för att nämna några som också har stora verksamheter i Ble</w:t>
      </w:r>
      <w:r>
        <w:rPr>
          <w:rFonts w:cs="Helv"/>
        </w:rPr>
        <w:softHyphen/>
        <w:t>kinge. Andra myc</w:t>
      </w:r>
      <w:r>
        <w:rPr>
          <w:rFonts w:cs="Helv"/>
        </w:rPr>
        <w:softHyphen/>
        <w:t>ket värdefulla partners för både utbildning och forskning är Landstinget Ble</w:t>
      </w:r>
      <w:r>
        <w:rPr>
          <w:rFonts w:cs="Helv"/>
        </w:rPr>
        <w:softHyphen/>
        <w:t xml:space="preserve">kinge, Region Blekinge och Länsstyrelsen Blekinge.  Vårt nära samarbete med </w:t>
      </w:r>
      <w:proofErr w:type="spellStart"/>
      <w:r>
        <w:rPr>
          <w:rFonts w:cs="Helv"/>
        </w:rPr>
        <w:t>NetPort</w:t>
      </w:r>
      <w:proofErr w:type="spellEnd"/>
      <w:r>
        <w:rPr>
          <w:rFonts w:cs="Helv"/>
        </w:rPr>
        <w:t xml:space="preserve"> Science </w:t>
      </w:r>
      <w:r w:rsidRPr="00191C96">
        <w:rPr>
          <w:rFonts w:cs="Helv"/>
          <w:spacing w:val="-4"/>
        </w:rPr>
        <w:t xml:space="preserve">Park och </w:t>
      </w:r>
      <w:proofErr w:type="spellStart"/>
      <w:r w:rsidRPr="00191C96">
        <w:rPr>
          <w:rFonts w:cs="Helv"/>
          <w:spacing w:val="-4"/>
        </w:rPr>
        <w:t>TelecomCity</w:t>
      </w:r>
      <w:proofErr w:type="spellEnd"/>
      <w:r w:rsidRPr="00191C96">
        <w:rPr>
          <w:rFonts w:cs="Helv"/>
          <w:spacing w:val="-4"/>
        </w:rPr>
        <w:t xml:space="preserve"> har resulterat i en rad utvecklings- och forskningsprojekt med goda</w:t>
      </w:r>
      <w:r>
        <w:rPr>
          <w:rFonts w:cs="Helv"/>
        </w:rPr>
        <w:t xml:space="preserve"> resultat.</w:t>
      </w:r>
    </w:p>
    <w:p w:rsidR="00E25AAE" w:rsidRDefault="00E25AAE" w:rsidP="00E25AAE">
      <w:pPr>
        <w:pStyle w:val="BrdtextR"/>
        <w:spacing w:after="120" w:line="240" w:lineRule="auto"/>
        <w:ind w:right="-428"/>
        <w:jc w:val="left"/>
        <w:rPr>
          <w:rFonts w:cs="Helv"/>
        </w:rPr>
      </w:pPr>
      <w:r w:rsidRPr="00B31F8D">
        <w:rPr>
          <w:rFonts w:cs="Helv"/>
        </w:rPr>
        <w:t xml:space="preserve">Vi har deltagit i en rad </w:t>
      </w:r>
      <w:r>
        <w:rPr>
          <w:rFonts w:cs="Helv"/>
        </w:rPr>
        <w:t xml:space="preserve">värdefulla </w:t>
      </w:r>
      <w:r w:rsidRPr="00B31F8D">
        <w:rPr>
          <w:rFonts w:cs="Helv"/>
        </w:rPr>
        <w:t>nationella och internationella sammanhang, där basen är kunskapsu</w:t>
      </w:r>
      <w:r>
        <w:rPr>
          <w:rFonts w:cs="Helv"/>
        </w:rPr>
        <w:t>t</w:t>
      </w:r>
      <w:r>
        <w:rPr>
          <w:rFonts w:cs="Helv"/>
        </w:rPr>
        <w:softHyphen/>
        <w:t>veckling/utbyte mellan områden och professioner. Goda exempel på sådana sammanhang är engage</w:t>
      </w:r>
      <w:r>
        <w:rPr>
          <w:rFonts w:cs="Helv"/>
        </w:rPr>
        <w:softHyphen/>
        <w:t xml:space="preserve">mang i </w:t>
      </w:r>
      <w:proofErr w:type="spellStart"/>
      <w:r>
        <w:rPr>
          <w:rFonts w:cs="Helv"/>
        </w:rPr>
        <w:t>Swedsoft</w:t>
      </w:r>
      <w:proofErr w:type="spellEnd"/>
      <w:r>
        <w:rPr>
          <w:rFonts w:cs="Helv"/>
        </w:rPr>
        <w:t>, WTCO, SUHF, EUA, NORDEK och SNITTS.</w:t>
      </w:r>
    </w:p>
    <w:p w:rsidR="00E25AAE" w:rsidRDefault="00E25AAE" w:rsidP="00E25AAE">
      <w:pPr>
        <w:spacing w:after="100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174240" cy="6985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F8" w:rsidRDefault="00E25AAE" w:rsidP="00E25AAE">
      <w:pPr>
        <w:pStyle w:val="BrdtextR"/>
        <w:jc w:val="left"/>
      </w:pPr>
      <w:r w:rsidRPr="00157371">
        <w:t xml:space="preserve">Ursula </w:t>
      </w:r>
      <w:proofErr w:type="spellStart"/>
      <w:r w:rsidRPr="00157371">
        <w:t>Hass</w:t>
      </w:r>
      <w:proofErr w:type="spellEnd"/>
    </w:p>
    <w:sectPr w:rsidR="00E96CF8" w:rsidSect="00E9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compat/>
  <w:rsids>
    <w:rsidRoot w:val="00E25AAE"/>
    <w:rsid w:val="002B7208"/>
    <w:rsid w:val="00DE6919"/>
    <w:rsid w:val="00E25AAE"/>
    <w:rsid w:val="00E9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R">
    <w:name w:val="BrödtextÅR"/>
    <w:basedOn w:val="Normal"/>
    <w:link w:val="BrdtextRChar"/>
    <w:rsid w:val="00E25AAE"/>
    <w:pPr>
      <w:autoSpaceDE w:val="0"/>
      <w:autoSpaceDN w:val="0"/>
      <w:adjustRightInd w:val="0"/>
      <w:spacing w:after="200" w:line="300" w:lineRule="exact"/>
      <w:jc w:val="both"/>
    </w:pPr>
    <w:rPr>
      <w:rFonts w:ascii="Garamond" w:hAnsi="Garamond"/>
      <w:color w:val="000000"/>
      <w:lang w:eastAsia="en-US"/>
    </w:rPr>
  </w:style>
  <w:style w:type="character" w:customStyle="1" w:styleId="BrdtextRChar">
    <w:name w:val="BrödtextÅR Char"/>
    <w:basedOn w:val="Standardstycketeckensnitt"/>
    <w:link w:val="BrdtextR"/>
    <w:locked/>
    <w:rsid w:val="00E25AAE"/>
    <w:rPr>
      <w:rFonts w:ascii="Garamond" w:eastAsia="Times New Roman" w:hAnsi="Garamond" w:cs="Times New Roman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E25AAE"/>
    <w:rPr>
      <w:i/>
      <w:iCs/>
    </w:rPr>
  </w:style>
  <w:style w:type="paragraph" w:customStyle="1" w:styleId="Strrerubrik">
    <w:name w:val="Större rubrik"/>
    <w:basedOn w:val="Normal"/>
    <w:link w:val="StrrerubrikChar"/>
    <w:rsid w:val="00E25AAE"/>
    <w:pPr>
      <w:keepNext/>
      <w:spacing w:after="200" w:line="276" w:lineRule="auto"/>
    </w:pPr>
    <w:rPr>
      <w:rFonts w:ascii="Garamond" w:eastAsia="Calibri" w:hAnsi="Garamond"/>
      <w:b/>
      <w:color w:val="365F91"/>
      <w:sz w:val="36"/>
      <w:szCs w:val="28"/>
      <w:lang w:eastAsia="en-US"/>
    </w:rPr>
  </w:style>
  <w:style w:type="character" w:customStyle="1" w:styleId="StrrerubrikChar">
    <w:name w:val="Större rubrik Char"/>
    <w:basedOn w:val="Standardstycketeckensnitt"/>
    <w:link w:val="Strrerubrik"/>
    <w:locked/>
    <w:rsid w:val="00E25AAE"/>
    <w:rPr>
      <w:rFonts w:ascii="Garamond" w:eastAsia="Calibri" w:hAnsi="Garamond" w:cs="Times New Roman"/>
      <w:b/>
      <w:color w:val="365F91"/>
      <w:sz w:val="3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A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AA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2857</Characters>
  <Application>Microsoft Office Word</Application>
  <DocSecurity>0</DocSecurity>
  <Lines>23</Lines>
  <Paragraphs>6</Paragraphs>
  <ScaleCrop>false</ScaleCrop>
  <Company>Blekinge Tekniska Högskola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kfi</cp:lastModifiedBy>
  <cp:revision>2</cp:revision>
  <dcterms:created xsi:type="dcterms:W3CDTF">2011-02-15T15:37:00Z</dcterms:created>
  <dcterms:modified xsi:type="dcterms:W3CDTF">2011-02-15T15:37:00Z</dcterms:modified>
</cp:coreProperties>
</file>