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C" w:rsidRDefault="00B03DAC">
      <w:pPr>
        <w:pStyle w:val="berschrift1"/>
        <w:rPr>
          <w:rFonts w:ascii="Sparkasse Rg" w:eastAsia="Sparkasse Rg" w:hAnsi="Sparkasse Rg" w:cs="Sparkasse Rg"/>
          <w:sz w:val="24"/>
          <w:szCs w:val="24"/>
        </w:rPr>
      </w:pPr>
      <w:r>
        <w:rPr>
          <w:rFonts w:ascii="Sparkasse Rg" w:eastAsia="Sparkasse Rg" w:hAnsi="Sparkasse Rg" w:cs="Sparkasse Rg"/>
          <w:sz w:val="24"/>
          <w:szCs w:val="24"/>
        </w:rPr>
        <w:t xml:space="preserve">Pressemeldung / </w:t>
      </w:r>
      <w:r w:rsidR="006D3FBA">
        <w:rPr>
          <w:rFonts w:ascii="Sparkasse Rg" w:eastAsia="Sparkasse Rg" w:hAnsi="Sparkasse Rg" w:cs="Sparkasse Rg"/>
          <w:sz w:val="24"/>
          <w:szCs w:val="24"/>
        </w:rPr>
        <w:t>10.06</w:t>
      </w:r>
      <w:r>
        <w:rPr>
          <w:rFonts w:ascii="Sparkasse Rg" w:eastAsia="Sparkasse Rg" w:hAnsi="Sparkasse Rg" w:cs="Sparkasse Rg"/>
          <w:sz w:val="24"/>
          <w:szCs w:val="24"/>
        </w:rPr>
        <w:t>.2018</w:t>
      </w:r>
    </w:p>
    <w:p w:rsidR="00756D7C" w:rsidRPr="009C7D5C" w:rsidRDefault="00756D7C">
      <w:pPr>
        <w:pStyle w:val="berschrift1"/>
        <w:rPr>
          <w:rFonts w:ascii="Sparkasse Rg" w:eastAsia="Sparkasse Rg" w:hAnsi="Sparkasse Rg" w:cs="Sparkasse Rg"/>
          <w:b w:val="0"/>
          <w:sz w:val="24"/>
          <w:szCs w:val="24"/>
        </w:rPr>
      </w:pPr>
    </w:p>
    <w:p w:rsidR="00756D7C" w:rsidRDefault="006D3FBA">
      <w:pPr>
        <w:pStyle w:val="berschrift1"/>
        <w:rPr>
          <w:rFonts w:ascii="Sparkasse Rg" w:eastAsia="Sparkasse Rg" w:hAnsi="Sparkasse Rg" w:cs="Sparkasse Rg"/>
          <w:sz w:val="24"/>
          <w:szCs w:val="24"/>
        </w:rPr>
      </w:pPr>
      <w:r>
        <w:rPr>
          <w:rFonts w:ascii="Sparkasse Rg" w:eastAsia="Sparkasse Rg" w:hAnsi="Sparkasse Rg" w:cs="Sparkasse Rg"/>
          <w:sz w:val="24"/>
          <w:szCs w:val="24"/>
        </w:rPr>
        <w:t xml:space="preserve">Benefiz-Golfturnier der Stadtsparkasse München </w:t>
      </w:r>
      <w:r w:rsidR="001263B9">
        <w:rPr>
          <w:rFonts w:ascii="Sparkasse Rg" w:eastAsia="Sparkasse Rg" w:hAnsi="Sparkasse Rg" w:cs="Sparkasse Rg"/>
          <w:sz w:val="24"/>
          <w:szCs w:val="24"/>
        </w:rPr>
        <w:t xml:space="preserve">bringt </w:t>
      </w:r>
      <w:r w:rsidR="009C7D5C" w:rsidRPr="009C7D5C">
        <w:rPr>
          <w:rFonts w:ascii="Sparkasse Rg" w:eastAsia="Sparkasse Rg" w:hAnsi="Sparkasse Rg" w:cs="Sparkasse Rg"/>
          <w:sz w:val="24"/>
          <w:szCs w:val="24"/>
        </w:rPr>
        <w:t>85</w:t>
      </w:r>
      <w:r w:rsidR="001263B9" w:rsidRPr="009C7D5C">
        <w:rPr>
          <w:rFonts w:ascii="Sparkasse Rg" w:eastAsia="Sparkasse Rg" w:hAnsi="Sparkasse Rg" w:cs="Sparkasse Rg"/>
          <w:sz w:val="24"/>
          <w:szCs w:val="24"/>
        </w:rPr>
        <w:t>.000 Euro</w:t>
      </w:r>
      <w:r w:rsidR="001263B9">
        <w:rPr>
          <w:rFonts w:ascii="Sparkasse Rg" w:eastAsia="Sparkasse Rg" w:hAnsi="Sparkasse Rg" w:cs="Sparkasse Rg"/>
          <w:sz w:val="24"/>
          <w:szCs w:val="24"/>
        </w:rPr>
        <w:t xml:space="preserve"> für die Deutsche Stiftung Kinderdermatologie von Gründerin Dr. Nicole Inselkammer</w:t>
      </w:r>
    </w:p>
    <w:p w:rsidR="00756D7C" w:rsidRDefault="00756D7C"/>
    <w:p w:rsidR="009C7D5C" w:rsidRDefault="00B03DAC">
      <w:pPr>
        <w:pBdr>
          <w:top w:val="nil"/>
          <w:left w:val="nil"/>
          <w:bottom w:val="nil"/>
          <w:right w:val="nil"/>
          <w:between w:val="nil"/>
        </w:pBdr>
        <w:spacing w:after="120" w:line="360" w:lineRule="auto"/>
        <w:ind w:right="1983"/>
        <w:rPr>
          <w:color w:val="000000"/>
        </w:rPr>
      </w:pPr>
      <w:r>
        <w:rPr>
          <w:b/>
          <w:color w:val="000000"/>
        </w:rPr>
        <w:t>München (sskm).</w:t>
      </w:r>
      <w:r>
        <w:rPr>
          <w:color w:val="000000"/>
        </w:rPr>
        <w:t xml:space="preserve"> </w:t>
      </w:r>
      <w:r w:rsidR="001263B9">
        <w:t>Für einen guten Zweck mit Kunden und Geschäftspartnern miteinander zu golfen hat bereits lange Tradition bei der Stadtsparkasse München</w:t>
      </w:r>
      <w:r>
        <w:rPr>
          <w:color w:val="000000"/>
        </w:rPr>
        <w:t>.</w:t>
      </w:r>
      <w:r w:rsidR="001263B9">
        <w:rPr>
          <w:color w:val="000000"/>
        </w:rPr>
        <w:t xml:space="preserve"> Diesmal wurde das Benefizturnier zusammen mit dem bekannten Münchner Rechtsanwalt Stavros Kostantinidis und Ministerialdirigent a.D. Eu</w:t>
      </w:r>
      <w:r w:rsidR="00981BE2">
        <w:rPr>
          <w:color w:val="000000"/>
        </w:rPr>
        <w:t>g</w:t>
      </w:r>
      <w:r w:rsidR="001263B9">
        <w:rPr>
          <w:color w:val="000000"/>
        </w:rPr>
        <w:t xml:space="preserve">en Turi im Golfclub St. Eurach bei Iffeldorf ausgerichtet. </w:t>
      </w:r>
      <w:r w:rsidR="009C7D5C">
        <w:rPr>
          <w:color w:val="000000"/>
        </w:rPr>
        <w:t>85.000 Euro br</w:t>
      </w:r>
      <w:r w:rsidR="001263B9">
        <w:rPr>
          <w:color w:val="000000"/>
        </w:rPr>
        <w:t xml:space="preserve">achte das Turnier für </w:t>
      </w:r>
      <w:r w:rsidR="00B05287">
        <w:rPr>
          <w:color w:val="000000"/>
        </w:rPr>
        <w:t xml:space="preserve">den diesjährigen Spendenzweck - </w:t>
      </w:r>
      <w:r w:rsidR="001263B9">
        <w:rPr>
          <w:color w:val="000000"/>
        </w:rPr>
        <w:t>die Deutsche Stiftung Kinderdermatologie</w:t>
      </w:r>
      <w:r w:rsidR="000607C6">
        <w:rPr>
          <w:color w:val="000000"/>
        </w:rPr>
        <w:t xml:space="preserve"> mit Sitz in München, gegründet und geleitet von Dr. Nicole Inselkammer.</w:t>
      </w:r>
      <w:r w:rsidR="009C7D5C">
        <w:rPr>
          <w:color w:val="000000"/>
        </w:rPr>
        <w:t xml:space="preserve"> Den ursprünglichen Spendenbetrag rundeten die Gäste am Abend noch großzügig auf.</w:t>
      </w:r>
    </w:p>
    <w:p w:rsidR="00756D7C" w:rsidRDefault="00981BE2">
      <w:pPr>
        <w:pBdr>
          <w:top w:val="nil"/>
          <w:left w:val="nil"/>
          <w:bottom w:val="nil"/>
          <w:right w:val="nil"/>
          <w:between w:val="nil"/>
        </w:pBdr>
        <w:spacing w:after="120" w:line="360" w:lineRule="auto"/>
        <w:ind w:right="1983"/>
        <w:rPr>
          <w:color w:val="000000"/>
        </w:rPr>
      </w:pPr>
      <w:r>
        <w:rPr>
          <w:color w:val="000000"/>
        </w:rPr>
        <w:t>„Mit nur einem Ereignis an einem Tag so viel Geld für einen guten Zweck einzusammeln, macht allen Teilnehmern und Organisatoren große Freude“, sagt Ralf Fleischer, Vorstandsvorsitzender der Stadtsparkasse München, stolz über das Spendenergebnis.</w:t>
      </w:r>
    </w:p>
    <w:p w:rsidR="000607C6" w:rsidRDefault="000607C6">
      <w:pPr>
        <w:pBdr>
          <w:top w:val="nil"/>
          <w:left w:val="nil"/>
          <w:bottom w:val="nil"/>
          <w:right w:val="nil"/>
          <w:between w:val="nil"/>
        </w:pBdr>
        <w:spacing w:after="120" w:line="360" w:lineRule="auto"/>
        <w:ind w:right="1983"/>
        <w:rPr>
          <w:color w:val="000000"/>
        </w:rPr>
      </w:pPr>
      <w:r>
        <w:rPr>
          <w:color w:val="000000"/>
        </w:rPr>
        <w:t xml:space="preserve">Die </w:t>
      </w:r>
      <w:r w:rsidR="00981BE2">
        <w:rPr>
          <w:color w:val="000000"/>
        </w:rPr>
        <w:t xml:space="preserve">Deutsche </w:t>
      </w:r>
      <w:r>
        <w:rPr>
          <w:color w:val="000000"/>
        </w:rPr>
        <w:t xml:space="preserve">Stiftung </w:t>
      </w:r>
      <w:r w:rsidR="00981BE2">
        <w:rPr>
          <w:color w:val="000000"/>
        </w:rPr>
        <w:t xml:space="preserve">Kinderdermatologie </w:t>
      </w:r>
      <w:r>
        <w:rPr>
          <w:color w:val="000000"/>
        </w:rPr>
        <w:t>wurde vor einigen Jahren mit dem Ziel</w:t>
      </w:r>
      <w:r w:rsidR="00981BE2" w:rsidRPr="00981BE2">
        <w:rPr>
          <w:color w:val="000000"/>
        </w:rPr>
        <w:t xml:space="preserve"> </w:t>
      </w:r>
      <w:r w:rsidR="00981BE2">
        <w:rPr>
          <w:color w:val="000000"/>
        </w:rPr>
        <w:t>gegründet</w:t>
      </w:r>
      <w:r>
        <w:rPr>
          <w:color w:val="000000"/>
        </w:rPr>
        <w:t>, hautkranke Kinder zu unterstützen und deren Versorgungsstruktur zu verbessern. Ein Pilotprojekt unterstützt Kinder mit seltenen oder genetischen Hautkrankheiten auch bei sozialen Aspekten wie beispielsweise Inklusion, Patientenvernetzung</w:t>
      </w:r>
      <w:r w:rsidR="00951C40">
        <w:rPr>
          <w:color w:val="000000"/>
        </w:rPr>
        <w:t xml:space="preserve"> und Persönlichkeitsentwicklung</w:t>
      </w:r>
      <w:r w:rsidR="00B05287">
        <w:rPr>
          <w:color w:val="000000"/>
        </w:rPr>
        <w:t>.</w:t>
      </w:r>
    </w:p>
    <w:p w:rsidR="00415335" w:rsidRDefault="00415335" w:rsidP="00415335">
      <w:pPr>
        <w:pBdr>
          <w:top w:val="nil"/>
          <w:left w:val="nil"/>
          <w:bottom w:val="nil"/>
          <w:right w:val="nil"/>
          <w:between w:val="nil"/>
        </w:pBdr>
        <w:spacing w:after="120" w:line="360" w:lineRule="auto"/>
        <w:ind w:right="1983"/>
        <w:rPr>
          <w:color w:val="000000"/>
        </w:rPr>
      </w:pPr>
      <w:r w:rsidRPr="00667BFA">
        <w:rPr>
          <w:color w:val="000000"/>
        </w:rPr>
        <w:t xml:space="preserve">Rund 60 Gäste schwangen bei </w:t>
      </w:r>
      <w:r w:rsidR="009C7D5C">
        <w:rPr>
          <w:color w:val="000000"/>
        </w:rPr>
        <w:t xml:space="preserve">meist </w:t>
      </w:r>
      <w:r w:rsidRPr="009C7D5C">
        <w:rPr>
          <w:color w:val="000000"/>
        </w:rPr>
        <w:t>sonnigem</w:t>
      </w:r>
      <w:r w:rsidRPr="00667BFA">
        <w:rPr>
          <w:color w:val="000000"/>
        </w:rPr>
        <w:t xml:space="preserve"> Wetter den Golfschläger im Südens Münchens vor prächtiger Bergkulisse für die gute Sache, darunter Dr. Christine Bortenlänger, Geschäftsführerin und Vorstand Deutsches Aktieninstitut eV; Alfred Gaffal, Präsident der Vereinigung der bayerischen Wirtschaft; Karl Walter Jauch, Ärztlicher Direktor des Klinikums Großhadern; Robert Salzl, Präsident des Tourismusverbandes München und Oberbayern; Hanno D. Wentzler, Vorsitzender der Freudenberg Chemie; sowie </w:t>
      </w:r>
      <w:r w:rsidRPr="00667BFA">
        <w:rPr>
          <w:color w:val="000000"/>
        </w:rPr>
        <w:lastRenderedPageBreak/>
        <w:t xml:space="preserve">Prinzessin Tatjana und Prinz Wolfgang von Bayern. Außerdem die Gastgeber Ralf Fleischer, Vorstandsvorsitzender der </w:t>
      </w:r>
      <w:r w:rsidR="000607DC">
        <w:rPr>
          <w:color w:val="000000"/>
        </w:rPr>
        <w:t>Stadtsparkasse München und sein</w:t>
      </w:r>
      <w:r w:rsidRPr="00667BFA">
        <w:rPr>
          <w:color w:val="000000"/>
        </w:rPr>
        <w:t xml:space="preserve"> Vorstandskollege</w:t>
      </w:r>
      <w:r w:rsidR="000607DC">
        <w:rPr>
          <w:color w:val="000000"/>
        </w:rPr>
        <w:t xml:space="preserve"> </w:t>
      </w:r>
      <w:bookmarkStart w:id="0" w:name="_GoBack"/>
      <w:bookmarkEnd w:id="0"/>
      <w:r w:rsidRPr="00667BFA">
        <w:rPr>
          <w:color w:val="000000"/>
        </w:rPr>
        <w:t>Dr. Bernd Hochberger sowie Stavros Kostantinidis, Rechtsanwalt aus München und Ministerialdirigent a.D. Eugen Turi.</w:t>
      </w:r>
    </w:p>
    <w:p w:rsidR="00B05287" w:rsidRDefault="00B05287" w:rsidP="00981BE2">
      <w:pPr>
        <w:pBdr>
          <w:top w:val="nil"/>
          <w:left w:val="nil"/>
          <w:bottom w:val="nil"/>
          <w:right w:val="nil"/>
          <w:between w:val="nil"/>
        </w:pBdr>
        <w:spacing w:after="120" w:line="360" w:lineRule="auto"/>
        <w:ind w:right="1983"/>
        <w:rPr>
          <w:color w:val="000000"/>
        </w:rPr>
      </w:pPr>
      <w:r>
        <w:rPr>
          <w:color w:val="000000"/>
        </w:rPr>
        <w:t xml:space="preserve">Weitere Informationen zur </w:t>
      </w:r>
      <w:r w:rsidR="00E5075B">
        <w:rPr>
          <w:color w:val="000000"/>
        </w:rPr>
        <w:t xml:space="preserve">Deutsche </w:t>
      </w:r>
      <w:r>
        <w:rPr>
          <w:color w:val="000000"/>
        </w:rPr>
        <w:t>Stiftung</w:t>
      </w:r>
      <w:r w:rsidR="00E5075B">
        <w:rPr>
          <w:color w:val="000000"/>
        </w:rPr>
        <w:t xml:space="preserve"> Kinderdermatologie</w:t>
      </w:r>
      <w:r>
        <w:rPr>
          <w:color w:val="000000"/>
        </w:rPr>
        <w:t>:</w:t>
      </w:r>
    </w:p>
    <w:p w:rsidR="00B05287" w:rsidRPr="00B05287" w:rsidRDefault="000607DC" w:rsidP="00981BE2">
      <w:pPr>
        <w:pBdr>
          <w:top w:val="nil"/>
          <w:left w:val="nil"/>
          <w:bottom w:val="nil"/>
          <w:right w:val="nil"/>
          <w:between w:val="nil"/>
        </w:pBdr>
        <w:spacing w:after="120" w:line="360" w:lineRule="auto"/>
        <w:ind w:right="1983"/>
        <w:rPr>
          <w:b/>
          <w:color w:val="000000"/>
        </w:rPr>
      </w:pPr>
      <w:hyperlink r:id="rId7" w:history="1">
        <w:r w:rsidR="00B05287" w:rsidRPr="00E5075B">
          <w:rPr>
            <w:rStyle w:val="Hyperlink"/>
            <w:b/>
          </w:rPr>
          <w:t>www.deutsche-stiftung-kinderdermatologie.de</w:t>
        </w:r>
      </w:hyperlink>
    </w:p>
    <w:p w:rsidR="00756D7C" w:rsidRDefault="00756D7C"/>
    <w:p w:rsidR="00756D7C"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Pr>
          <w:b/>
          <w:sz w:val="20"/>
          <w:szCs w:val="20"/>
        </w:rPr>
        <w:t>Die Stadtsparkasse München</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Fast jeder zweite Münchner vertraut in Geldfragen auf die Stadtsparkasse München, die seit 1824 besteht. Der Marktführer unter den Münchner Banken im Privatkundenbereich, bezogen auf Hauptbankverbindungen, bietet mit 58 Standorten das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p>
    <w:sectPr w:rsidR="00756D7C" w:rsidSect="00085EFF">
      <w:headerReference w:type="default" r:id="rId8"/>
      <w:footerReference w:type="default" r:id="rId9"/>
      <w:footerReference w:type="first" r:id="rId10"/>
      <w:pgSz w:w="11906" w:h="16838"/>
      <w:pgMar w:top="1843" w:right="1559" w:bottom="2127"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C9" w:rsidRDefault="00B03DAC">
      <w:r>
        <w:separator/>
      </w:r>
    </w:p>
  </w:endnote>
  <w:endnote w:type="continuationSeparator" w:id="0">
    <w:p w:rsidR="003129C9" w:rsidRDefault="00B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55D25703" wp14:editId="01610348">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01C797EF" wp14:editId="611C56D5">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B05287">
      <w:rPr>
        <w:color w:val="000000"/>
        <w:sz w:val="14"/>
        <w:szCs w:val="14"/>
      </w:rPr>
      <w:t>10</w:t>
    </w:r>
    <w:r w:rsidR="00B03DAC">
      <w:rPr>
        <w:color w:val="000000"/>
        <w:sz w:val="14"/>
        <w:szCs w:val="14"/>
      </w:rPr>
      <w:t>.0</w:t>
    </w:r>
    <w:r w:rsidR="00B05287">
      <w:rPr>
        <w:color w:val="000000"/>
        <w:sz w:val="14"/>
        <w:szCs w:val="14"/>
      </w:rPr>
      <w:t>6</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0607DC">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0607DC">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32A00">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C9" w:rsidRDefault="00B03DAC">
      <w:r>
        <w:separator/>
      </w:r>
    </w:p>
  </w:footnote>
  <w:footnote w:type="continuationSeparator" w:id="0">
    <w:p w:rsidR="003129C9" w:rsidRDefault="00B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7A80931F" wp14:editId="3198F5D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607C6"/>
    <w:rsid w:val="000607DC"/>
    <w:rsid w:val="00085EFF"/>
    <w:rsid w:val="00123BD6"/>
    <w:rsid w:val="001263B9"/>
    <w:rsid w:val="001C03FA"/>
    <w:rsid w:val="002827BD"/>
    <w:rsid w:val="002E244E"/>
    <w:rsid w:val="002E37E7"/>
    <w:rsid w:val="003129C9"/>
    <w:rsid w:val="00330287"/>
    <w:rsid w:val="00415335"/>
    <w:rsid w:val="00432A00"/>
    <w:rsid w:val="0055675D"/>
    <w:rsid w:val="00587EEF"/>
    <w:rsid w:val="00594065"/>
    <w:rsid w:val="005D4916"/>
    <w:rsid w:val="006D3FBA"/>
    <w:rsid w:val="00756D7C"/>
    <w:rsid w:val="00887C08"/>
    <w:rsid w:val="008D0E69"/>
    <w:rsid w:val="009453D5"/>
    <w:rsid w:val="00951C40"/>
    <w:rsid w:val="00981615"/>
    <w:rsid w:val="00981BE2"/>
    <w:rsid w:val="009C7D5C"/>
    <w:rsid w:val="00A4056B"/>
    <w:rsid w:val="00B03DAC"/>
    <w:rsid w:val="00B05287"/>
    <w:rsid w:val="00D1767F"/>
    <w:rsid w:val="00E5075B"/>
    <w:rsid w:val="00F35E00"/>
    <w:rsid w:val="00FC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deutsche-stiftung-kinderdermatologie.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AA4FDB1B.dotm</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21</cp:revision>
  <cp:lastPrinted>2018-06-09T11:16:00Z</cp:lastPrinted>
  <dcterms:created xsi:type="dcterms:W3CDTF">2018-05-30T09:33:00Z</dcterms:created>
  <dcterms:modified xsi:type="dcterms:W3CDTF">2018-06-09T11:21:00Z</dcterms:modified>
</cp:coreProperties>
</file>