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B6" w:rsidRDefault="00B5235B">
      <w:r w:rsidRPr="00F65B7F">
        <w:rPr>
          <w:rFonts w:cs="Segoe UI"/>
          <w:noProof/>
          <w:color w:val="0023A0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5271135</wp:posOffset>
            </wp:positionH>
            <wp:positionV relativeFrom="page">
              <wp:posOffset>201326</wp:posOffset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669">
        <w:rPr>
          <w:rFonts w:ascii="Calibri" w:hAnsi="Calibri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-299720</wp:posOffset>
            </wp:positionV>
            <wp:extent cx="2047875" cy="428625"/>
            <wp:effectExtent l="0" t="0" r="9525" b="0"/>
            <wp:wrapNone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FB6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-404495</wp:posOffset>
            </wp:positionV>
            <wp:extent cx="1790700" cy="485775"/>
            <wp:effectExtent l="19050" t="0" r="0" b="0"/>
            <wp:wrapNone/>
            <wp:docPr id="2" name="Imagen 2" descr="Garmin_R-Logo_Black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min_R-Logo_Black_2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FB6" w:rsidRDefault="00F66FB6"/>
    <w:p w:rsidR="00F66FB6" w:rsidRDefault="00F66FB6"/>
    <w:p w:rsidR="00F66FB6" w:rsidRDefault="00F66FB6" w:rsidP="00F66FB6">
      <w:pPr>
        <w:ind w:right="-490"/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</w:p>
    <w:p w:rsidR="00F66FB6" w:rsidRDefault="00F66FB6" w:rsidP="005A66EF">
      <w:pPr>
        <w:ind w:left="-567" w:right="-490"/>
        <w:jc w:val="center"/>
        <w:rPr>
          <w:rFonts w:ascii="AR CENA" w:hAnsi="AR CENA" w:cs="Arial"/>
          <w:b/>
          <w:bCs/>
          <w:sz w:val="36"/>
          <w:szCs w:val="36"/>
          <w:lang w:val="es-ES"/>
        </w:rPr>
      </w:pPr>
      <w:r w:rsidRPr="00C22E73">
        <w:rPr>
          <w:rFonts w:ascii="Arial" w:hAnsi="Arial" w:cs="Arial"/>
          <w:b/>
          <w:bCs/>
          <w:sz w:val="36"/>
          <w:szCs w:val="36"/>
          <w:lang w:val="es-ES"/>
        </w:rPr>
        <w:t>Garmin, Caixa</w:t>
      </w:r>
      <w:r>
        <w:rPr>
          <w:rFonts w:ascii="Arial" w:hAnsi="Arial" w:cs="Arial"/>
          <w:b/>
          <w:bCs/>
          <w:sz w:val="36"/>
          <w:szCs w:val="36"/>
          <w:lang w:val="es-ES"/>
        </w:rPr>
        <w:t>B</w:t>
      </w:r>
      <w:r w:rsidRPr="00C22E73">
        <w:rPr>
          <w:rFonts w:ascii="Arial" w:hAnsi="Arial" w:cs="Arial"/>
          <w:b/>
          <w:bCs/>
          <w:sz w:val="36"/>
          <w:szCs w:val="36"/>
          <w:lang w:val="es-ES"/>
        </w:rPr>
        <w:t xml:space="preserve">ank y Visa se alían para facilitar </w:t>
      </w:r>
      <w:r>
        <w:rPr>
          <w:rFonts w:ascii="Arial" w:hAnsi="Arial" w:cs="Arial"/>
          <w:b/>
          <w:bCs/>
          <w:sz w:val="36"/>
          <w:szCs w:val="36"/>
          <w:lang w:val="es-ES"/>
        </w:rPr>
        <w:br/>
      </w:r>
      <w:r w:rsidRPr="00C22E73">
        <w:rPr>
          <w:rFonts w:ascii="Arial" w:hAnsi="Arial" w:cs="Arial"/>
          <w:b/>
          <w:bCs/>
          <w:sz w:val="36"/>
          <w:szCs w:val="36"/>
          <w:lang w:val="es-ES"/>
        </w:rPr>
        <w:t xml:space="preserve">el pago a través </w:t>
      </w:r>
      <w:r w:rsidRPr="00E76C0D">
        <w:rPr>
          <w:rFonts w:ascii="Arial" w:hAnsi="Arial" w:cs="Arial"/>
          <w:b/>
          <w:bCs/>
          <w:sz w:val="36"/>
          <w:szCs w:val="36"/>
          <w:lang w:val="es-ES"/>
        </w:rPr>
        <w:t>de</w:t>
      </w:r>
      <w:r w:rsidR="00597DDD" w:rsidRPr="00E76C0D">
        <w:rPr>
          <w:rFonts w:ascii="Arial" w:hAnsi="Arial" w:cs="Arial"/>
          <w:b/>
          <w:bCs/>
          <w:sz w:val="36"/>
          <w:szCs w:val="36"/>
          <w:lang w:val="es-ES"/>
        </w:rPr>
        <w:t xml:space="preserve"> los </w:t>
      </w:r>
      <w:r w:rsidR="00E76C0D">
        <w:rPr>
          <w:rFonts w:ascii="Arial" w:hAnsi="Arial" w:cs="Arial"/>
          <w:b/>
          <w:bCs/>
          <w:sz w:val="36"/>
          <w:szCs w:val="36"/>
          <w:lang w:val="es-ES"/>
        </w:rPr>
        <w:t>dispositivos</w:t>
      </w:r>
      <w:r w:rsidR="00E76C0D" w:rsidRPr="00E76C0D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r w:rsidR="0016575B" w:rsidRPr="00E76C0D">
        <w:rPr>
          <w:rFonts w:ascii="Arial" w:hAnsi="Arial" w:cs="Arial"/>
          <w:b/>
          <w:bCs/>
          <w:sz w:val="36"/>
          <w:szCs w:val="36"/>
          <w:lang w:val="es-ES"/>
        </w:rPr>
        <w:t>Garmin</w:t>
      </w:r>
    </w:p>
    <w:p w:rsidR="00F66FB6" w:rsidRDefault="00F66FB6" w:rsidP="00F66FB6">
      <w:pPr>
        <w:ind w:right="-490"/>
        <w:jc w:val="center"/>
        <w:rPr>
          <w:rFonts w:ascii="AR CENA" w:hAnsi="AR CENA" w:cs="Arial"/>
          <w:b/>
          <w:bCs/>
          <w:sz w:val="36"/>
          <w:szCs w:val="36"/>
          <w:lang w:val="es-ES"/>
        </w:rPr>
      </w:pPr>
    </w:p>
    <w:p w:rsidR="00F66FB6" w:rsidRDefault="00F66FB6" w:rsidP="005A66EF">
      <w:pPr>
        <w:pStyle w:val="Prrafodelista"/>
        <w:numPr>
          <w:ilvl w:val="0"/>
          <w:numId w:val="1"/>
        </w:numPr>
        <w:ind w:left="-142" w:right="-568" w:hanging="425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F66FB6">
        <w:rPr>
          <w:rFonts w:ascii="Arial" w:hAnsi="Arial" w:cs="Arial"/>
          <w:b/>
          <w:bCs/>
          <w:sz w:val="22"/>
          <w:szCs w:val="22"/>
          <w:lang w:val="es-ES"/>
        </w:rPr>
        <w:t xml:space="preserve">Los clientes de tarjetas Visa de CaixaBank que dispongan de un </w:t>
      </w:r>
      <w:r w:rsidR="00E76C0D">
        <w:rPr>
          <w:rFonts w:ascii="Arial" w:hAnsi="Arial" w:cs="Arial"/>
          <w:b/>
          <w:bCs/>
          <w:sz w:val="22"/>
          <w:szCs w:val="22"/>
          <w:lang w:val="es-ES"/>
        </w:rPr>
        <w:t>reloj</w:t>
      </w:r>
      <w:r w:rsidR="00E76C0D" w:rsidRPr="00F66FB6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F66FB6">
        <w:rPr>
          <w:rFonts w:ascii="Arial" w:hAnsi="Arial" w:cs="Arial"/>
          <w:b/>
          <w:bCs/>
          <w:sz w:val="22"/>
          <w:szCs w:val="22"/>
          <w:lang w:val="es-ES"/>
        </w:rPr>
        <w:t xml:space="preserve">Garmin </w:t>
      </w:r>
      <w:r w:rsidR="00F17F07">
        <w:rPr>
          <w:rFonts w:ascii="Arial" w:hAnsi="Arial" w:cs="Arial"/>
          <w:b/>
          <w:bCs/>
          <w:sz w:val="22"/>
          <w:szCs w:val="22"/>
          <w:lang w:val="es-ES"/>
        </w:rPr>
        <w:br/>
      </w:r>
      <w:r w:rsidRPr="00F66FB6">
        <w:rPr>
          <w:rFonts w:ascii="Arial" w:hAnsi="Arial" w:cs="Arial"/>
          <w:b/>
          <w:bCs/>
          <w:sz w:val="22"/>
          <w:szCs w:val="22"/>
          <w:lang w:val="es-ES"/>
        </w:rPr>
        <w:t xml:space="preserve">con tecnología Garmin </w:t>
      </w:r>
      <w:proofErr w:type="spellStart"/>
      <w:r w:rsidRPr="00F66FB6">
        <w:rPr>
          <w:rFonts w:ascii="Arial" w:hAnsi="Arial" w:cs="Arial"/>
          <w:b/>
          <w:bCs/>
          <w:sz w:val="22"/>
          <w:szCs w:val="22"/>
          <w:lang w:val="es-ES"/>
        </w:rPr>
        <w:t>Pay</w:t>
      </w:r>
      <w:proofErr w:type="spellEnd"/>
      <w:r w:rsidRPr="00F66FB6">
        <w:rPr>
          <w:rFonts w:ascii="Arial" w:hAnsi="Arial" w:cs="Arial"/>
          <w:b/>
          <w:bCs/>
          <w:sz w:val="22"/>
          <w:szCs w:val="22"/>
          <w:lang w:val="es-ES"/>
        </w:rPr>
        <w:t xml:space="preserve">* podrán utilizarlo para realizar pagos en comercios. </w:t>
      </w:r>
    </w:p>
    <w:p w:rsidR="005A66EF" w:rsidRDefault="005A66EF" w:rsidP="005A66EF">
      <w:pPr>
        <w:ind w:right="-568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273D2" w:rsidRDefault="00F273D2" w:rsidP="005A66EF">
      <w:pPr>
        <w:ind w:right="-568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5A66EF" w:rsidRPr="005A66EF" w:rsidRDefault="005A66EF" w:rsidP="005A66EF">
      <w:pPr>
        <w:ind w:right="-568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66FB6" w:rsidRPr="00A961BB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i/>
          <w:iCs/>
          <w:sz w:val="22"/>
          <w:szCs w:val="22"/>
          <w:lang w:val="es-ES"/>
        </w:rPr>
        <w:t>Febrero 2018</w:t>
      </w:r>
      <w:r w:rsidRPr="00C245E3">
        <w:rPr>
          <w:rFonts w:ascii="Arial" w:hAnsi="Arial" w:cs="Arial"/>
          <w:i/>
          <w:iCs/>
          <w:sz w:val="22"/>
          <w:szCs w:val="22"/>
          <w:lang w:val="es-ES"/>
        </w:rPr>
        <w:t xml:space="preserve">.- </w:t>
      </w:r>
      <w:r w:rsidRPr="00C245E3">
        <w:rPr>
          <w:rFonts w:ascii="Arial" w:hAnsi="Arial" w:cs="Arial"/>
          <w:b/>
          <w:sz w:val="22"/>
          <w:szCs w:val="22"/>
          <w:lang w:val="es-ES"/>
        </w:rPr>
        <w:t>Garmin</w:t>
      </w:r>
      <w:r>
        <w:rPr>
          <w:rFonts w:ascii="Arial" w:hAnsi="Arial" w:cs="Arial"/>
          <w:b/>
          <w:sz w:val="22"/>
          <w:szCs w:val="22"/>
          <w:lang w:val="es-ES"/>
        </w:rPr>
        <w:t>,</w:t>
      </w:r>
      <w:r w:rsidRPr="0084613A">
        <w:rPr>
          <w:rFonts w:ascii="Arial" w:hAnsi="Arial" w:cs="Arial"/>
          <w:sz w:val="22"/>
          <w:szCs w:val="22"/>
          <w:lang w:val="es-ES"/>
        </w:rPr>
        <w:t xml:space="preserve"> </w:t>
      </w:r>
      <w:r w:rsidRPr="0084613A">
        <w:rPr>
          <w:rFonts w:ascii="Arial" w:hAnsi="Arial" w:cs="Arial"/>
          <w:b/>
          <w:sz w:val="22"/>
          <w:szCs w:val="22"/>
          <w:lang w:val="es-ES"/>
        </w:rPr>
        <w:t>CaixaBank y Visa</w:t>
      </w:r>
      <w:r w:rsidRPr="0084613A">
        <w:rPr>
          <w:rFonts w:ascii="Arial" w:hAnsi="Arial" w:cs="Arial"/>
          <w:sz w:val="22"/>
          <w:szCs w:val="22"/>
          <w:lang w:val="es-ES"/>
        </w:rPr>
        <w:t xml:space="preserve"> pondrán en marcha Garmin </w:t>
      </w:r>
      <w:proofErr w:type="spellStart"/>
      <w:r w:rsidRPr="0084613A">
        <w:rPr>
          <w:rFonts w:ascii="Arial" w:hAnsi="Arial" w:cs="Arial"/>
          <w:sz w:val="22"/>
          <w:szCs w:val="22"/>
          <w:lang w:val="es-ES"/>
        </w:rPr>
        <w:t>Pay</w:t>
      </w:r>
      <w:proofErr w:type="spellEnd"/>
      <w:r w:rsidRPr="0084613A">
        <w:rPr>
          <w:rFonts w:ascii="Arial" w:hAnsi="Arial" w:cs="Arial"/>
          <w:sz w:val="22"/>
          <w:szCs w:val="22"/>
          <w:lang w:val="es-ES"/>
        </w:rPr>
        <w:t xml:space="preserve"> en España.</w:t>
      </w:r>
      <w:r>
        <w:rPr>
          <w:rFonts w:ascii="Arial" w:hAnsi="Arial" w:cs="Arial"/>
          <w:sz w:val="22"/>
          <w:szCs w:val="22"/>
          <w:lang w:val="es-ES"/>
        </w:rPr>
        <w:t xml:space="preserve"> En concreto, los usuarios de Garmin con relojes que integren tecnología Garmin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Pay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podrán descargar en su terminal su tarjeta Visa de CaixaBank y realizar con ella pagos de manera directa y sencilla en aquellos establecimientos que dispongan de TPV </w:t>
      </w:r>
      <w:r w:rsidRPr="0084613A">
        <w:rPr>
          <w:rFonts w:ascii="Arial" w:hAnsi="Arial" w:cs="Arial"/>
          <w:i/>
          <w:sz w:val="22"/>
          <w:szCs w:val="22"/>
          <w:lang w:val="es-ES"/>
        </w:rPr>
        <w:t>contactless.</w:t>
      </w:r>
    </w:p>
    <w:p w:rsidR="00F66FB6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66FB6" w:rsidRPr="00FA7C33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Cs/>
          <w:strike/>
          <w:color w:val="FF0000"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La tecnología Garmin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Pay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 está implementada </w:t>
      </w:r>
      <w:r w:rsidR="00E76C0D">
        <w:rPr>
          <w:rFonts w:ascii="Arial" w:hAnsi="Arial" w:cs="Arial"/>
          <w:bCs/>
          <w:sz w:val="22"/>
          <w:szCs w:val="22"/>
          <w:lang w:val="es-ES"/>
        </w:rPr>
        <w:t xml:space="preserve">actualmente </w:t>
      </w:r>
      <w:r>
        <w:rPr>
          <w:rFonts w:ascii="Arial" w:hAnsi="Arial" w:cs="Arial"/>
          <w:bCs/>
          <w:sz w:val="22"/>
          <w:szCs w:val="22"/>
          <w:lang w:val="es-ES"/>
        </w:rPr>
        <w:t>en</w:t>
      </w:r>
      <w:r w:rsidRPr="0084613A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su </w:t>
      </w:r>
      <w:r w:rsidRPr="0084613A">
        <w:rPr>
          <w:rFonts w:ascii="Arial" w:hAnsi="Arial" w:cs="Arial"/>
          <w:bCs/>
          <w:sz w:val="22"/>
          <w:szCs w:val="22"/>
          <w:lang w:val="es-ES"/>
        </w:rPr>
        <w:t>dispositivo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="00AD2FC8">
        <w:rPr>
          <w:rFonts w:ascii="Arial" w:hAnsi="Arial" w:cs="Arial"/>
          <w:b/>
          <w:bCs/>
          <w:sz w:val="22"/>
          <w:szCs w:val="22"/>
          <w:lang w:val="es-ES"/>
        </w:rPr>
        <w:t>vívoactive</w:t>
      </w:r>
      <w:proofErr w:type="spellEnd"/>
      <w:r w:rsidR="00AD2FC8">
        <w:rPr>
          <w:rFonts w:ascii="Arial" w:hAnsi="Arial" w:cs="Arial"/>
          <w:b/>
          <w:bCs/>
          <w:sz w:val="22"/>
          <w:szCs w:val="22"/>
          <w:lang w:val="es-ES"/>
        </w:rPr>
        <w:t xml:space="preserve">® </w:t>
      </w:r>
      <w:r w:rsidR="00AD2FC8" w:rsidRPr="00517DE9">
        <w:rPr>
          <w:rFonts w:ascii="Arial" w:hAnsi="Arial" w:cs="Arial"/>
          <w:b/>
          <w:bCs/>
          <w:sz w:val="22"/>
          <w:szCs w:val="22"/>
          <w:lang w:val="es-ES"/>
        </w:rPr>
        <w:t>3 y se prevé que esté en los próximos meses en 20 dispositivos más de la marca.</w:t>
      </w:r>
    </w:p>
    <w:p w:rsidR="005A66EF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br/>
      </w:r>
      <w:bookmarkStart w:id="0" w:name="_GoBack"/>
      <w:bookmarkEnd w:id="0"/>
    </w:p>
    <w:p w:rsidR="00F66FB6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435A5">
        <w:rPr>
          <w:rFonts w:ascii="Arial" w:hAnsi="Arial" w:cs="Arial"/>
          <w:b/>
          <w:bCs/>
          <w:sz w:val="22"/>
          <w:szCs w:val="22"/>
          <w:lang w:val="es-ES"/>
        </w:rPr>
        <w:t xml:space="preserve">Garmin </w:t>
      </w:r>
      <w:proofErr w:type="spellStart"/>
      <w:r w:rsidRPr="00C435A5">
        <w:rPr>
          <w:rFonts w:ascii="Arial" w:hAnsi="Arial" w:cs="Arial"/>
          <w:b/>
          <w:bCs/>
          <w:sz w:val="22"/>
          <w:szCs w:val="22"/>
          <w:lang w:val="es-ES"/>
        </w:rPr>
        <w:t>Pay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>:</w:t>
      </w:r>
      <w:r w:rsidRPr="00C435A5">
        <w:rPr>
          <w:rFonts w:ascii="Arial" w:hAnsi="Arial" w:cs="Arial"/>
          <w:b/>
          <w:bCs/>
          <w:sz w:val="22"/>
          <w:szCs w:val="22"/>
          <w:lang w:val="es-ES"/>
        </w:rPr>
        <w:t xml:space="preserve"> pagar </w:t>
      </w:r>
      <w:r w:rsidR="00BA2BA7">
        <w:rPr>
          <w:rFonts w:ascii="Arial" w:hAnsi="Arial" w:cs="Arial"/>
          <w:b/>
          <w:bCs/>
          <w:sz w:val="22"/>
          <w:szCs w:val="22"/>
          <w:lang w:val="es-ES"/>
        </w:rPr>
        <w:t>con el reloj</w:t>
      </w:r>
    </w:p>
    <w:p w:rsidR="00F66FB6" w:rsidRPr="00C435A5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66FB6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El nuevo servicio se lanzará comercialmente a lo largo del primer semestre de 2018. Cuando entre en funcionamiento, los usuarios de Garmin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Pay</w:t>
      </w:r>
      <w:proofErr w:type="spellEnd"/>
      <w:r w:rsidRPr="00B810F5">
        <w:rPr>
          <w:rFonts w:ascii="Arial" w:hAnsi="Arial" w:cs="Arial"/>
          <w:bCs/>
          <w:sz w:val="22"/>
          <w:szCs w:val="22"/>
          <w:lang w:val="es-ES"/>
        </w:rPr>
        <w:t xml:space="preserve"> podrán olvidarse de llevar la cartera cuando salgan de casa, ya que</w:t>
      </w:r>
      <w:r>
        <w:rPr>
          <w:rFonts w:ascii="Arial" w:hAnsi="Arial" w:cs="Arial"/>
          <w:bCs/>
          <w:color w:val="FF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podrán pagar con tan solo acercar su reloj al </w:t>
      </w:r>
      <w:r w:rsidR="0016575B">
        <w:rPr>
          <w:rFonts w:ascii="Arial" w:hAnsi="Arial" w:cs="Arial"/>
          <w:bCs/>
          <w:sz w:val="22"/>
          <w:szCs w:val="22"/>
          <w:lang w:val="es-ES"/>
        </w:rPr>
        <w:t>datáfono del comercio.</w:t>
      </w:r>
      <w:r w:rsidRPr="00491A7D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:rsidR="00E76C0D" w:rsidRDefault="00E76C0D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6575B" w:rsidRDefault="00E76C0D" w:rsidP="0016575B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Previamente a su utilización</w:t>
      </w:r>
      <w:r w:rsidR="005A66EF">
        <w:rPr>
          <w:rFonts w:ascii="Arial" w:hAnsi="Arial" w:cs="Arial"/>
          <w:bCs/>
          <w:sz w:val="22"/>
          <w:szCs w:val="22"/>
          <w:lang w:val="es-ES"/>
        </w:rPr>
        <w:t xml:space="preserve"> en compras</w:t>
      </w:r>
      <w:r>
        <w:rPr>
          <w:rFonts w:ascii="Arial" w:hAnsi="Arial" w:cs="Arial"/>
          <w:bCs/>
          <w:sz w:val="22"/>
          <w:szCs w:val="22"/>
          <w:lang w:val="es-ES"/>
        </w:rPr>
        <w:t xml:space="preserve">, los clientes deben descargar en su dispositivo Garmin su tarjeta Visa de CaixaBank. </w:t>
      </w:r>
      <w:r w:rsidR="0016575B"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r>
        <w:rPr>
          <w:rFonts w:ascii="Arial" w:hAnsi="Arial" w:cs="Arial"/>
          <w:bCs/>
          <w:sz w:val="22"/>
          <w:szCs w:val="22"/>
          <w:lang w:val="es-ES"/>
        </w:rPr>
        <w:t>operación</w:t>
      </w:r>
      <w:r w:rsidR="0016575B">
        <w:rPr>
          <w:rFonts w:ascii="Arial" w:hAnsi="Arial" w:cs="Arial"/>
          <w:bCs/>
          <w:sz w:val="22"/>
          <w:szCs w:val="22"/>
          <w:lang w:val="es-ES"/>
        </w:rPr>
        <w:t xml:space="preserve"> se hace de forma segura desde la aplicación Garmin </w:t>
      </w:r>
      <w:proofErr w:type="spellStart"/>
      <w:r w:rsidR="005A66EF">
        <w:rPr>
          <w:rFonts w:ascii="Arial" w:hAnsi="Arial" w:cs="Arial"/>
          <w:bCs/>
          <w:sz w:val="22"/>
          <w:szCs w:val="22"/>
          <w:lang w:val="es-ES"/>
        </w:rPr>
        <w:t>Connect</w:t>
      </w:r>
      <w:proofErr w:type="spellEnd"/>
      <w:r w:rsidR="0016575B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="005A66EF">
        <w:rPr>
          <w:rFonts w:ascii="Arial" w:hAnsi="Arial" w:cs="Arial"/>
          <w:bCs/>
          <w:sz w:val="22"/>
          <w:szCs w:val="22"/>
          <w:lang w:val="es-ES"/>
        </w:rPr>
        <w:t>Igualmente</w:t>
      </w:r>
      <w:r w:rsidR="00D11684">
        <w:rPr>
          <w:rFonts w:ascii="Arial" w:hAnsi="Arial" w:cs="Arial"/>
          <w:bCs/>
          <w:sz w:val="22"/>
          <w:szCs w:val="22"/>
          <w:lang w:val="es-ES"/>
        </w:rPr>
        <w:t>,</w:t>
      </w:r>
      <w:r w:rsidR="005A66EF">
        <w:rPr>
          <w:rFonts w:ascii="Arial" w:hAnsi="Arial" w:cs="Arial"/>
          <w:bCs/>
          <w:sz w:val="22"/>
          <w:szCs w:val="22"/>
          <w:lang w:val="es-ES"/>
        </w:rPr>
        <w:t xml:space="preserve"> el cliente</w:t>
      </w:r>
      <w:r w:rsidR="00D11684">
        <w:rPr>
          <w:rFonts w:ascii="Arial" w:hAnsi="Arial" w:cs="Arial"/>
          <w:bCs/>
          <w:sz w:val="22"/>
          <w:szCs w:val="22"/>
          <w:lang w:val="es-ES"/>
        </w:rPr>
        <w:t xml:space="preserve"> podrá </w:t>
      </w:r>
      <w:r w:rsidR="005A66EF">
        <w:rPr>
          <w:rFonts w:ascii="Arial" w:hAnsi="Arial" w:cs="Arial"/>
          <w:bCs/>
          <w:sz w:val="22"/>
          <w:szCs w:val="22"/>
          <w:lang w:val="es-ES"/>
        </w:rPr>
        <w:t xml:space="preserve">utilizar la aplicación CaixaBank </w:t>
      </w:r>
      <w:proofErr w:type="spellStart"/>
      <w:r w:rsidR="005A66EF">
        <w:rPr>
          <w:rFonts w:ascii="Arial" w:hAnsi="Arial" w:cs="Arial"/>
          <w:bCs/>
          <w:sz w:val="22"/>
          <w:szCs w:val="22"/>
          <w:lang w:val="es-ES"/>
        </w:rPr>
        <w:t>Pay</w:t>
      </w:r>
      <w:proofErr w:type="spellEnd"/>
      <w:r w:rsidR="005A66EF">
        <w:rPr>
          <w:rFonts w:ascii="Arial" w:hAnsi="Arial" w:cs="Arial"/>
          <w:bCs/>
          <w:sz w:val="22"/>
          <w:szCs w:val="22"/>
          <w:lang w:val="es-ES"/>
        </w:rPr>
        <w:t xml:space="preserve"> para gestionar la tarjeta descargada en el reloj Garmin</w:t>
      </w:r>
      <w:r w:rsidR="00D11684"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F66FB6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66FB6" w:rsidRDefault="00E76C0D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El cobro se realiza bajo los más estrictos protocolos de seguridad y privacidad</w:t>
      </w:r>
      <w:r w:rsidRPr="00491A7D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="00F66FB6" w:rsidRPr="00491A7D">
        <w:rPr>
          <w:rFonts w:ascii="Arial" w:hAnsi="Arial" w:cs="Arial"/>
          <w:bCs/>
          <w:sz w:val="22"/>
          <w:szCs w:val="22"/>
          <w:lang w:val="es-ES"/>
        </w:rPr>
        <w:t xml:space="preserve">Además, el número de </w:t>
      </w:r>
      <w:r w:rsidR="00F66FB6">
        <w:rPr>
          <w:rFonts w:ascii="Arial" w:hAnsi="Arial" w:cs="Arial"/>
          <w:bCs/>
          <w:sz w:val="22"/>
          <w:szCs w:val="22"/>
          <w:lang w:val="es-ES"/>
        </w:rPr>
        <w:t>la</w:t>
      </w:r>
      <w:r w:rsidR="00F66FB6" w:rsidRPr="00491A7D">
        <w:rPr>
          <w:rFonts w:ascii="Arial" w:hAnsi="Arial" w:cs="Arial"/>
          <w:bCs/>
          <w:sz w:val="22"/>
          <w:szCs w:val="22"/>
          <w:lang w:val="es-ES"/>
        </w:rPr>
        <w:t xml:space="preserve"> tarjeta no queda guardado en el dispositivo ni en </w:t>
      </w:r>
      <w:r w:rsidR="00F66FB6">
        <w:rPr>
          <w:rFonts w:ascii="Arial" w:hAnsi="Arial" w:cs="Arial"/>
          <w:bCs/>
          <w:sz w:val="22"/>
          <w:szCs w:val="22"/>
          <w:lang w:val="es-ES"/>
        </w:rPr>
        <w:t>los</w:t>
      </w:r>
      <w:r w:rsidR="00F66FB6" w:rsidRPr="00491A7D">
        <w:rPr>
          <w:rFonts w:ascii="Arial" w:hAnsi="Arial" w:cs="Arial"/>
          <w:bCs/>
          <w:sz w:val="22"/>
          <w:szCs w:val="22"/>
          <w:lang w:val="es-ES"/>
        </w:rPr>
        <w:t xml:space="preserve"> servidores,</w:t>
      </w:r>
      <w:r w:rsidR="00F66FB6">
        <w:rPr>
          <w:rFonts w:ascii="Arial" w:hAnsi="Arial" w:cs="Arial"/>
          <w:bCs/>
          <w:sz w:val="22"/>
          <w:szCs w:val="22"/>
          <w:lang w:val="es-ES"/>
        </w:rPr>
        <w:t xml:space="preserve"> y</w:t>
      </w:r>
      <w:r w:rsidR="00F66FB6" w:rsidRPr="00491A7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F66FB6">
        <w:rPr>
          <w:rFonts w:ascii="Arial" w:hAnsi="Arial" w:cs="Arial"/>
          <w:bCs/>
          <w:sz w:val="22"/>
          <w:szCs w:val="22"/>
          <w:lang w:val="es-ES"/>
        </w:rPr>
        <w:t>tampoco</w:t>
      </w:r>
      <w:r w:rsidR="00F66FB6" w:rsidRPr="00491A7D">
        <w:rPr>
          <w:rFonts w:ascii="Arial" w:hAnsi="Arial" w:cs="Arial"/>
          <w:bCs/>
          <w:sz w:val="22"/>
          <w:szCs w:val="22"/>
          <w:lang w:val="es-ES"/>
        </w:rPr>
        <w:t xml:space="preserve"> se transmit</w:t>
      </w:r>
      <w:r w:rsidR="00F66FB6">
        <w:rPr>
          <w:rFonts w:ascii="Arial" w:hAnsi="Arial" w:cs="Arial"/>
          <w:bCs/>
          <w:sz w:val="22"/>
          <w:szCs w:val="22"/>
          <w:lang w:val="es-ES"/>
        </w:rPr>
        <w:t>e</w:t>
      </w:r>
      <w:r w:rsidR="00F66FB6" w:rsidRPr="00491A7D">
        <w:rPr>
          <w:rFonts w:ascii="Arial" w:hAnsi="Arial" w:cs="Arial"/>
          <w:bCs/>
          <w:sz w:val="22"/>
          <w:szCs w:val="22"/>
          <w:lang w:val="es-ES"/>
        </w:rPr>
        <w:t xml:space="preserve"> al personal de los es</w:t>
      </w:r>
      <w:r w:rsidR="00F66FB6">
        <w:rPr>
          <w:rFonts w:ascii="Arial" w:hAnsi="Arial" w:cs="Arial"/>
          <w:bCs/>
          <w:sz w:val="22"/>
          <w:szCs w:val="22"/>
          <w:lang w:val="es-ES"/>
        </w:rPr>
        <w:t>tablecimientos en los que la emplee el usuario</w:t>
      </w:r>
      <w:r w:rsidR="00F66FB6" w:rsidRPr="00491A7D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="005A66EF">
        <w:rPr>
          <w:rFonts w:ascii="Arial" w:hAnsi="Arial" w:cs="Arial"/>
          <w:bCs/>
          <w:sz w:val="22"/>
          <w:szCs w:val="22"/>
          <w:lang w:val="es-ES"/>
        </w:rPr>
        <w:t>Cada vez que el cliente realice un pago con su dispositivo Garmin, recibirá un mensaje.</w:t>
      </w:r>
    </w:p>
    <w:p w:rsidR="0016575B" w:rsidRDefault="0016575B" w:rsidP="00E76C0D">
      <w:pPr>
        <w:autoSpaceDE w:val="0"/>
        <w:autoSpaceDN w:val="0"/>
        <w:adjustRightInd w:val="0"/>
        <w:ind w:right="-4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66FB6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66FB6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863A69">
        <w:rPr>
          <w:rFonts w:ascii="Arial" w:hAnsi="Arial" w:cs="Arial"/>
          <w:b/>
          <w:bCs/>
          <w:sz w:val="22"/>
          <w:szCs w:val="22"/>
          <w:lang w:val="es-ES"/>
        </w:rPr>
        <w:t>Garmin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, </w:t>
      </w:r>
      <w:r w:rsidRPr="00863A69">
        <w:rPr>
          <w:rFonts w:ascii="Arial" w:hAnsi="Arial" w:cs="Arial"/>
          <w:b/>
          <w:bCs/>
          <w:sz w:val="22"/>
          <w:szCs w:val="22"/>
          <w:lang w:val="es-ES"/>
        </w:rPr>
        <w:t>Caixa</w:t>
      </w:r>
      <w:r>
        <w:rPr>
          <w:rFonts w:ascii="Arial" w:hAnsi="Arial" w:cs="Arial"/>
          <w:b/>
          <w:bCs/>
          <w:sz w:val="22"/>
          <w:szCs w:val="22"/>
          <w:lang w:val="es-ES"/>
        </w:rPr>
        <w:t>B</w:t>
      </w:r>
      <w:r w:rsidRPr="00863A69">
        <w:rPr>
          <w:rFonts w:ascii="Arial" w:hAnsi="Arial" w:cs="Arial"/>
          <w:b/>
          <w:bCs/>
          <w:sz w:val="22"/>
          <w:szCs w:val="22"/>
          <w:lang w:val="es-ES"/>
        </w:rPr>
        <w:t>ank  y Visa, referentes</w:t>
      </w:r>
      <w:r w:rsidRPr="001D45C7">
        <w:rPr>
          <w:rFonts w:ascii="Arial" w:hAnsi="Arial" w:cs="Arial"/>
          <w:b/>
          <w:bCs/>
          <w:sz w:val="22"/>
          <w:szCs w:val="22"/>
          <w:lang w:val="es-ES"/>
        </w:rPr>
        <w:t xml:space="preserve"> unidos</w:t>
      </w:r>
    </w:p>
    <w:p w:rsidR="00F66FB6" w:rsidRPr="001D45C7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66FB6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CaixaBank será el primer banco de España que ofrecerá Garmin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Pay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, de forma que los clientes de tarjetas Visa de la entidad que dispongan de un dispositivo Garmin compatible con el sistema podrán utilizarlo. </w:t>
      </w:r>
    </w:p>
    <w:p w:rsidR="00F66FB6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:rsidR="00640669" w:rsidRPr="001233E9" w:rsidRDefault="00F66FB6" w:rsidP="001233E9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Cs/>
          <w:color w:val="FF0000"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Las tres compañías han presentado el acuerdo de colaboración durante la celebración del Mobile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World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Congress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. En este marco, Garmin </w:t>
      </w:r>
      <w:r w:rsidR="005A66EF">
        <w:rPr>
          <w:rFonts w:ascii="Arial" w:hAnsi="Arial" w:cs="Arial"/>
          <w:bCs/>
          <w:sz w:val="22"/>
          <w:szCs w:val="22"/>
          <w:lang w:val="es-ES"/>
        </w:rPr>
        <w:t>cuenta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con un espacio en el stand de Visa</w:t>
      </w:r>
      <w:r w:rsidRPr="00B810F5">
        <w:rPr>
          <w:rFonts w:ascii="Arial" w:hAnsi="Arial" w:cs="Arial"/>
          <w:bCs/>
          <w:sz w:val="22"/>
          <w:szCs w:val="22"/>
          <w:lang w:val="es-ES"/>
        </w:rPr>
        <w:t xml:space="preserve">, donde los visitantes </w:t>
      </w:r>
      <w:r w:rsidR="005A66EF">
        <w:rPr>
          <w:rFonts w:ascii="Arial" w:hAnsi="Arial" w:cs="Arial"/>
          <w:bCs/>
          <w:sz w:val="22"/>
          <w:szCs w:val="22"/>
          <w:lang w:val="es-ES"/>
        </w:rPr>
        <w:t>pueden</w:t>
      </w:r>
      <w:r w:rsidRPr="00B810F5">
        <w:rPr>
          <w:rFonts w:ascii="Arial" w:hAnsi="Arial" w:cs="Arial"/>
          <w:bCs/>
          <w:sz w:val="22"/>
          <w:szCs w:val="22"/>
          <w:lang w:val="es-ES"/>
        </w:rPr>
        <w:t xml:space="preserve"> acercarse a conocer el funcionamiento de la tecnología Garmin </w:t>
      </w:r>
      <w:proofErr w:type="spellStart"/>
      <w:r w:rsidRPr="00B810F5">
        <w:rPr>
          <w:rFonts w:ascii="Arial" w:hAnsi="Arial" w:cs="Arial"/>
          <w:bCs/>
          <w:sz w:val="22"/>
          <w:szCs w:val="22"/>
          <w:lang w:val="es-ES"/>
        </w:rPr>
        <w:t>Pay</w:t>
      </w:r>
      <w:proofErr w:type="spellEnd"/>
      <w:r w:rsidRPr="00B810F5"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1233E9" w:rsidRDefault="001233E9" w:rsidP="001233E9">
      <w:pPr>
        <w:autoSpaceDE w:val="0"/>
        <w:autoSpaceDN w:val="0"/>
        <w:adjustRightInd w:val="0"/>
        <w:ind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66FB6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273D2" w:rsidRDefault="00F273D2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273D2" w:rsidRDefault="00F273D2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273D2" w:rsidRDefault="00F273D2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273D2" w:rsidRDefault="00F273D2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B5235B" w:rsidRDefault="00B5235B" w:rsidP="00B5235B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2E3A1D">
        <w:rPr>
          <w:rFonts w:ascii="Arial" w:hAnsi="Arial" w:cs="Arial"/>
          <w:b/>
          <w:bCs/>
          <w:sz w:val="22"/>
          <w:szCs w:val="22"/>
          <w:lang w:val="es-ES"/>
        </w:rPr>
        <w:t>Los consumidores se sienten más seguros que nunca a la hora de pagar con sus dispositivos móviles</w:t>
      </w:r>
    </w:p>
    <w:p w:rsidR="00F273D2" w:rsidRDefault="00F273D2" w:rsidP="00B5235B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B5235B" w:rsidRDefault="00F273D2" w:rsidP="00B5235B">
      <w:pPr>
        <w:autoSpaceDE w:val="0"/>
        <w:autoSpaceDN w:val="0"/>
        <w:adjustRightInd w:val="0"/>
        <w:ind w:left="-567" w:right="-490"/>
        <w:jc w:val="both"/>
        <w:rPr>
          <w:rFonts w:cs="Gotham-Light"/>
          <w:color w:val="000000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El 93</w:t>
      </w:r>
      <w:r w:rsidR="00B5235B" w:rsidRPr="00C6366D">
        <w:rPr>
          <w:rFonts w:ascii="Arial" w:hAnsi="Arial" w:cs="Arial"/>
          <w:bCs/>
          <w:sz w:val="22"/>
          <w:szCs w:val="22"/>
          <w:lang w:val="es-ES"/>
        </w:rPr>
        <w:t>% de los españoles espera realizar pagos digitales en sus dispo</w:t>
      </w:r>
      <w:r>
        <w:rPr>
          <w:rFonts w:ascii="Arial" w:hAnsi="Arial" w:cs="Arial"/>
          <w:bCs/>
          <w:sz w:val="22"/>
          <w:szCs w:val="22"/>
          <w:lang w:val="es-ES"/>
        </w:rPr>
        <w:t xml:space="preserve">sitivos de forma habitual antes </w:t>
      </w:r>
      <w:r w:rsidR="00B5235B" w:rsidRPr="00C6366D">
        <w:rPr>
          <w:rFonts w:ascii="Arial" w:hAnsi="Arial" w:cs="Arial"/>
          <w:bCs/>
          <w:sz w:val="22"/>
          <w:szCs w:val="22"/>
          <w:lang w:val="es-ES"/>
        </w:rPr>
        <w:t>de 2020, según el último estudio de Visa sobre pagos digitales</w:t>
      </w:r>
      <w:r w:rsidR="00B5235B" w:rsidRPr="00C6366D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="00B5235B" w:rsidRPr="00C6366D">
        <w:rPr>
          <w:rFonts w:ascii="Arial" w:hAnsi="Arial" w:cs="Arial"/>
          <w:bCs/>
          <w:sz w:val="22"/>
          <w:szCs w:val="22"/>
          <w:lang w:val="es-ES"/>
        </w:rPr>
        <w:t xml:space="preserve">. No en vano, el 86 % de los consumidores de entre 18 y 34 años en nuestro país –los denominados </w:t>
      </w:r>
      <w:proofErr w:type="spellStart"/>
      <w:r w:rsidR="00B5235B" w:rsidRPr="00C6366D">
        <w:rPr>
          <w:rFonts w:ascii="Arial" w:hAnsi="Arial" w:cs="Arial"/>
          <w:bCs/>
          <w:i/>
          <w:sz w:val="22"/>
          <w:szCs w:val="22"/>
          <w:lang w:val="es-ES"/>
        </w:rPr>
        <w:t>millennials</w:t>
      </w:r>
      <w:proofErr w:type="spellEnd"/>
      <w:r w:rsidR="00B5235B" w:rsidRPr="00C6366D">
        <w:rPr>
          <w:rFonts w:ascii="Arial" w:hAnsi="Arial" w:cs="Arial"/>
          <w:bCs/>
          <w:i/>
          <w:sz w:val="22"/>
          <w:szCs w:val="22"/>
          <w:lang w:val="es-ES"/>
        </w:rPr>
        <w:t xml:space="preserve">- </w:t>
      </w:r>
      <w:r w:rsidR="00B5235B" w:rsidRPr="00C6366D">
        <w:rPr>
          <w:rFonts w:ascii="Arial" w:hAnsi="Arial" w:cs="Arial"/>
          <w:bCs/>
          <w:sz w:val="22"/>
          <w:szCs w:val="22"/>
          <w:lang w:val="es-ES"/>
        </w:rPr>
        <w:t>ya utilizan dispositivos móviles para realizar transacciones o consultas financieras.</w:t>
      </w:r>
      <w:r w:rsidR="00B5235B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B5235B" w:rsidRPr="00C6366D">
        <w:rPr>
          <w:rFonts w:ascii="Arial" w:hAnsi="Arial" w:cs="Arial"/>
          <w:bCs/>
          <w:sz w:val="22"/>
          <w:szCs w:val="22"/>
          <w:lang w:val="es-ES"/>
        </w:rPr>
        <w:t xml:space="preserve">Una clave para la adopción de las nuevas formas de pago entre los consumidores es la seguridad. A este reto, Visa ya está respondiendo con tecnologías como la </w:t>
      </w:r>
      <w:proofErr w:type="spellStart"/>
      <w:r w:rsidR="00B5235B" w:rsidRPr="00F273D2">
        <w:rPr>
          <w:rFonts w:ascii="Arial" w:hAnsi="Arial" w:cs="Arial"/>
          <w:bCs/>
          <w:i/>
          <w:sz w:val="22"/>
          <w:szCs w:val="22"/>
          <w:lang w:val="es-ES"/>
        </w:rPr>
        <w:t>tokenización</w:t>
      </w:r>
      <w:proofErr w:type="spellEnd"/>
      <w:r w:rsidR="00B5235B">
        <w:rPr>
          <w:rFonts w:ascii="Arial" w:hAnsi="Arial" w:cs="Arial"/>
          <w:bCs/>
          <w:sz w:val="22"/>
          <w:szCs w:val="22"/>
          <w:lang w:val="es-ES"/>
        </w:rPr>
        <w:t xml:space="preserve"> que está dentro de Garmin </w:t>
      </w:r>
      <w:proofErr w:type="spellStart"/>
      <w:r w:rsidR="00B5235B">
        <w:rPr>
          <w:rFonts w:ascii="Arial" w:hAnsi="Arial" w:cs="Arial"/>
          <w:bCs/>
          <w:sz w:val="22"/>
          <w:szCs w:val="22"/>
          <w:lang w:val="es-ES"/>
        </w:rPr>
        <w:t>Pay</w:t>
      </w:r>
      <w:proofErr w:type="spellEnd"/>
      <w:r w:rsidR="00B5235B"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F66FB6" w:rsidRDefault="00F66FB6" w:rsidP="00F66FB6">
      <w:pPr>
        <w:autoSpaceDE w:val="0"/>
        <w:autoSpaceDN w:val="0"/>
        <w:adjustRightInd w:val="0"/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66FB6" w:rsidRDefault="00F66FB6" w:rsidP="00F66FB6">
      <w:pPr>
        <w:ind w:right="-490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F66FB6" w:rsidRDefault="00F66FB6" w:rsidP="00F66FB6">
      <w:pPr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F66FB6">
        <w:rPr>
          <w:rFonts w:ascii="Arial" w:hAnsi="Arial" w:cs="Arial"/>
          <w:b/>
          <w:bCs/>
          <w:sz w:val="22"/>
          <w:szCs w:val="22"/>
          <w:lang w:val="es-ES"/>
        </w:rPr>
        <w:t xml:space="preserve">Sobre Garmin </w:t>
      </w:r>
    </w:p>
    <w:p w:rsidR="00F66FB6" w:rsidRPr="00F66FB6" w:rsidRDefault="00F66FB6" w:rsidP="00F66FB6">
      <w:pPr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66FB6" w:rsidRPr="00F66FB6" w:rsidRDefault="00F66FB6" w:rsidP="00F66FB6">
      <w:pPr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F66FB6">
        <w:rPr>
          <w:rFonts w:ascii="Arial" w:hAnsi="Arial" w:cs="Arial"/>
          <w:sz w:val="22"/>
          <w:szCs w:val="22"/>
          <w:lang w:val="es-ES"/>
        </w:rPr>
        <w:t xml:space="preserve">Líder mundial en navegación por satélite, Garmin Ltd. y sus filiales llevan desde 1989 diseñando, fabricando, comercializando y vendiendo dispositivos y aplicaciones de navegación, comunicación e información, la mayoría de los cuales integran tecnología GPS. Los productos de Garmin se utilizan en automoción, telefonía móvil, comunicación inalámbrica, actividades de ocio al aire libre, el sector marítimo, la aviación y aplicaciones de OEM. Garmin Ltd. tiene su sede social en Suiza y sus principales filiales se encuentran en Estados Unidos, Taiwán y Reino Unido. Para obtener más información, visita la sala de prensa virtual de Garmin en </w:t>
      </w:r>
      <w:r w:rsidRPr="00F66FB6">
        <w:rPr>
          <w:rFonts w:ascii="Arial" w:hAnsi="Arial" w:cs="Arial"/>
          <w:color w:val="0000FF"/>
          <w:sz w:val="22"/>
          <w:szCs w:val="22"/>
          <w:lang w:val="es-ES"/>
        </w:rPr>
        <w:t>http://www.garmin.com/es/company/presse1/</w:t>
      </w:r>
      <w:r w:rsidRPr="00F66FB6">
        <w:rPr>
          <w:rFonts w:ascii="Arial" w:hAnsi="Arial" w:cs="Arial"/>
          <w:sz w:val="22"/>
          <w:szCs w:val="22"/>
          <w:lang w:val="es-ES"/>
        </w:rPr>
        <w:t xml:space="preserve">. Garmin es una marca comercial registrada de Garmin Ltd. </w:t>
      </w:r>
    </w:p>
    <w:p w:rsidR="00F66FB6" w:rsidRPr="00F66FB6" w:rsidRDefault="00F66FB6" w:rsidP="00F66FB6">
      <w:pPr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66FB6" w:rsidRPr="00F66FB6" w:rsidRDefault="00F66FB6" w:rsidP="00F66FB6">
      <w:pPr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66FB6" w:rsidRPr="00F66FB6" w:rsidRDefault="00F66FB6" w:rsidP="00F66FB6">
      <w:pPr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F66FB6">
        <w:rPr>
          <w:rFonts w:ascii="Arial" w:hAnsi="Arial" w:cs="Arial"/>
          <w:b/>
          <w:bCs/>
          <w:sz w:val="22"/>
          <w:szCs w:val="22"/>
          <w:lang w:val="es-ES"/>
        </w:rPr>
        <w:t>Sobre CaixaBank</w:t>
      </w:r>
    </w:p>
    <w:p w:rsidR="00F66FB6" w:rsidRPr="00F66FB6" w:rsidRDefault="00F66FB6" w:rsidP="00F66FB6">
      <w:pPr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66FB6" w:rsidRPr="00F66FB6" w:rsidRDefault="00F66FB6" w:rsidP="00F66FB6">
      <w:pPr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F66FB6">
        <w:rPr>
          <w:rFonts w:ascii="Arial" w:hAnsi="Arial" w:cs="Arial"/>
          <w:bCs/>
          <w:sz w:val="22"/>
          <w:szCs w:val="22"/>
          <w:lang w:val="es-ES"/>
        </w:rPr>
        <w:t xml:space="preserve">CaixaBank es la entidad líder en banca </w:t>
      </w:r>
      <w:proofErr w:type="spellStart"/>
      <w:r w:rsidRPr="005A66EF">
        <w:rPr>
          <w:rFonts w:ascii="Arial" w:hAnsi="Arial" w:cs="Arial"/>
          <w:bCs/>
          <w:i/>
          <w:sz w:val="22"/>
          <w:szCs w:val="22"/>
          <w:lang w:val="es-ES"/>
        </w:rPr>
        <w:t>retail</w:t>
      </w:r>
      <w:proofErr w:type="spellEnd"/>
      <w:r w:rsidRPr="00F66FB6">
        <w:rPr>
          <w:rFonts w:ascii="Arial" w:hAnsi="Arial" w:cs="Arial"/>
          <w:bCs/>
          <w:sz w:val="22"/>
          <w:szCs w:val="22"/>
          <w:lang w:val="es-ES"/>
        </w:rPr>
        <w:t xml:space="preserve"> en España, con una cuota de penetración de clientes particulares como entidad principal del 26,7%. El banco presidido por Jordi Gual, y cuyo consejero delegado es Gonzalo </w:t>
      </w:r>
      <w:proofErr w:type="spellStart"/>
      <w:r w:rsidRPr="00F66FB6">
        <w:rPr>
          <w:rFonts w:ascii="Arial" w:hAnsi="Arial" w:cs="Arial"/>
          <w:bCs/>
          <w:sz w:val="22"/>
          <w:szCs w:val="22"/>
          <w:lang w:val="es-ES"/>
        </w:rPr>
        <w:t>Gortázar</w:t>
      </w:r>
      <w:proofErr w:type="spellEnd"/>
      <w:r w:rsidRPr="00F66FB6">
        <w:rPr>
          <w:rFonts w:ascii="Arial" w:hAnsi="Arial" w:cs="Arial"/>
          <w:bCs/>
          <w:sz w:val="22"/>
          <w:szCs w:val="22"/>
          <w:lang w:val="es-ES"/>
        </w:rPr>
        <w:t>, tiene cerca de 16 millones de clientes en el mercado ibérico y 5.379 oficinas, la mayor red comercial de la península.</w:t>
      </w:r>
    </w:p>
    <w:p w:rsidR="00F66FB6" w:rsidRPr="00F66FB6" w:rsidRDefault="00F66FB6" w:rsidP="00F66FB6">
      <w:pPr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66FB6" w:rsidRDefault="00F66FB6" w:rsidP="00F66FB6">
      <w:pPr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F66FB6">
        <w:rPr>
          <w:rFonts w:ascii="Arial" w:hAnsi="Arial" w:cs="Arial"/>
          <w:bCs/>
          <w:sz w:val="22"/>
          <w:szCs w:val="22"/>
          <w:lang w:val="es-ES"/>
        </w:rPr>
        <w:t xml:space="preserve">La entidad financiera es también </w:t>
      </w:r>
      <w:r w:rsidR="005A66EF">
        <w:rPr>
          <w:rFonts w:ascii="Arial" w:hAnsi="Arial" w:cs="Arial"/>
          <w:bCs/>
          <w:sz w:val="22"/>
          <w:szCs w:val="22"/>
          <w:lang w:val="es-ES"/>
        </w:rPr>
        <w:t>referente</w:t>
      </w:r>
      <w:r w:rsidRPr="00F66FB6">
        <w:rPr>
          <w:rFonts w:ascii="Arial" w:hAnsi="Arial" w:cs="Arial"/>
          <w:bCs/>
          <w:sz w:val="22"/>
          <w:szCs w:val="22"/>
          <w:lang w:val="es-ES"/>
        </w:rPr>
        <w:t xml:space="preserve"> en innovación, con el desarrollo de proyectos que han marcado hitos tecnológicos en el sector, como la primera implantación comercial en Europa de los sistemas de pago contactless y de pago por el móvil, la comercialización de los primeros </w:t>
      </w:r>
      <w:r w:rsidRPr="005A66EF">
        <w:rPr>
          <w:rFonts w:ascii="Arial" w:hAnsi="Arial" w:cs="Arial"/>
          <w:bCs/>
          <w:i/>
          <w:sz w:val="22"/>
          <w:szCs w:val="22"/>
          <w:lang w:val="es-ES"/>
        </w:rPr>
        <w:t>wearables</w:t>
      </w:r>
      <w:r w:rsidRPr="00F66FB6">
        <w:rPr>
          <w:rFonts w:ascii="Arial" w:hAnsi="Arial" w:cs="Arial"/>
          <w:bCs/>
          <w:sz w:val="22"/>
          <w:szCs w:val="22"/>
          <w:lang w:val="es-ES"/>
        </w:rPr>
        <w:t xml:space="preserve"> para realizar pagos, con las pulseras Visa </w:t>
      </w:r>
      <w:r w:rsidRPr="00F66FB6">
        <w:rPr>
          <w:rFonts w:ascii="Arial" w:hAnsi="Arial" w:cs="Arial"/>
          <w:bCs/>
          <w:i/>
          <w:sz w:val="22"/>
          <w:szCs w:val="22"/>
          <w:lang w:val="es-ES"/>
        </w:rPr>
        <w:t>contactless</w:t>
      </w:r>
      <w:r w:rsidRPr="00F66FB6">
        <w:rPr>
          <w:rFonts w:ascii="Arial" w:hAnsi="Arial" w:cs="Arial"/>
          <w:bCs/>
          <w:sz w:val="22"/>
          <w:szCs w:val="22"/>
          <w:lang w:val="es-ES"/>
        </w:rPr>
        <w:t xml:space="preserve">, el lanzamiento de </w:t>
      </w:r>
      <w:proofErr w:type="spellStart"/>
      <w:r w:rsidRPr="00F66FB6">
        <w:rPr>
          <w:rFonts w:ascii="Arial" w:hAnsi="Arial" w:cs="Arial"/>
          <w:bCs/>
          <w:sz w:val="22"/>
          <w:szCs w:val="22"/>
          <w:lang w:val="es-ES"/>
        </w:rPr>
        <w:t>imaginBank</w:t>
      </w:r>
      <w:proofErr w:type="spellEnd"/>
      <w:r w:rsidRPr="00F66FB6">
        <w:rPr>
          <w:rFonts w:ascii="Arial" w:hAnsi="Arial" w:cs="Arial"/>
          <w:bCs/>
          <w:sz w:val="22"/>
          <w:szCs w:val="22"/>
          <w:lang w:val="es-ES"/>
        </w:rPr>
        <w:t xml:space="preserve"> o el desarrollo de las primeras aplicaciones de inteligencia artificial para atención al cliente.</w:t>
      </w:r>
    </w:p>
    <w:p w:rsidR="005A66EF" w:rsidRPr="00F66FB6" w:rsidRDefault="005A66EF" w:rsidP="00F66FB6">
      <w:pPr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66FB6" w:rsidRDefault="00F66FB6" w:rsidP="00F66FB6">
      <w:pPr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F66FB6">
        <w:rPr>
          <w:rFonts w:ascii="Arial" w:hAnsi="Arial" w:cs="Arial"/>
          <w:bCs/>
          <w:sz w:val="22"/>
          <w:szCs w:val="22"/>
          <w:lang w:val="es-ES"/>
        </w:rPr>
        <w:t xml:space="preserve">Actualmente, CaixaBank es la entidad financiera líder en medios de pago en España, con más de 15,8 millones de tarjetas en circulación (incluyendo también las tarjetas en formato móvil y en formato </w:t>
      </w:r>
      <w:r w:rsidRPr="00F66FB6">
        <w:rPr>
          <w:rFonts w:ascii="Arial" w:hAnsi="Arial" w:cs="Arial"/>
          <w:bCs/>
          <w:i/>
          <w:sz w:val="22"/>
          <w:szCs w:val="22"/>
          <w:lang w:val="es-ES"/>
        </w:rPr>
        <w:t>wearable</w:t>
      </w:r>
      <w:r w:rsidRPr="00F66FB6">
        <w:rPr>
          <w:rFonts w:ascii="Arial" w:hAnsi="Arial" w:cs="Arial"/>
          <w:bCs/>
          <w:sz w:val="22"/>
          <w:szCs w:val="22"/>
          <w:lang w:val="es-ES"/>
        </w:rPr>
        <w:t>), una cuota de mercado en compras del 23,3% y más de 370.000 TPV instalados.</w:t>
      </w:r>
    </w:p>
    <w:p w:rsidR="005A66EF" w:rsidRDefault="005A66EF" w:rsidP="00F66FB6">
      <w:pPr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5A66EF" w:rsidRDefault="005A66EF" w:rsidP="00F66FB6">
      <w:pPr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42467F" w:rsidRDefault="0042467F" w:rsidP="00F66FB6">
      <w:pPr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42467F" w:rsidRDefault="0042467F" w:rsidP="00F66FB6">
      <w:pPr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42467F" w:rsidRDefault="0042467F" w:rsidP="00F66FB6">
      <w:pPr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42467F" w:rsidRDefault="0042467F" w:rsidP="00F66FB6">
      <w:pPr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42467F" w:rsidRPr="005A66EF" w:rsidRDefault="0042467F" w:rsidP="00F66FB6">
      <w:pPr>
        <w:ind w:left="-567" w:right="-49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B5235B" w:rsidRDefault="00B5235B" w:rsidP="00B5235B">
      <w:pPr>
        <w:ind w:left="-567" w:right="-427"/>
        <w:rPr>
          <w:rFonts w:ascii="Arial" w:hAnsi="Arial" w:cs="Arial"/>
          <w:b/>
          <w:bCs/>
          <w:sz w:val="22"/>
          <w:szCs w:val="22"/>
          <w:lang w:val="es-ES"/>
        </w:rPr>
      </w:pPr>
      <w:r w:rsidRPr="004B3070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 xml:space="preserve">Sobre Visa </w:t>
      </w:r>
    </w:p>
    <w:p w:rsidR="00F273D2" w:rsidRPr="004B3070" w:rsidRDefault="00F273D2" w:rsidP="00B5235B">
      <w:pPr>
        <w:ind w:left="-567" w:right="-427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B5235B" w:rsidRPr="004B3070" w:rsidRDefault="00B5235B" w:rsidP="00B5235B">
      <w:pPr>
        <w:ind w:left="-567" w:right="-49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B3070">
        <w:rPr>
          <w:rFonts w:ascii="Arial" w:hAnsi="Arial" w:cs="Arial"/>
          <w:bCs/>
          <w:sz w:val="22"/>
          <w:szCs w:val="22"/>
          <w:lang w:val="es-ES"/>
        </w:rPr>
        <w:t xml:space="preserve">Visa </w:t>
      </w:r>
      <w:proofErr w:type="spellStart"/>
      <w:r w:rsidRPr="004B3070">
        <w:rPr>
          <w:rFonts w:ascii="Arial" w:hAnsi="Arial" w:cs="Arial"/>
          <w:bCs/>
          <w:sz w:val="22"/>
          <w:szCs w:val="22"/>
          <w:lang w:val="es-ES"/>
        </w:rPr>
        <w:t>Inc</w:t>
      </w:r>
      <w:proofErr w:type="spellEnd"/>
      <w:r w:rsidRPr="004B3070">
        <w:rPr>
          <w:rFonts w:ascii="Arial" w:hAnsi="Arial" w:cs="Arial"/>
          <w:bCs/>
          <w:sz w:val="22"/>
          <w:szCs w:val="22"/>
          <w:lang w:val="es-ES"/>
        </w:rPr>
        <w:t xml:space="preserve"> (NYSE:V) es una compañía tecnológica global de pagos que conecta consumidores, negocios, instituciones financieras y gobiernos en más de 200 países y territorios para realizar pagos electrónicos rápidos, seguros y fiables. Operamos una de las redes de procesamiento más avanzadas del mundo, </w:t>
      </w:r>
      <w:proofErr w:type="spellStart"/>
      <w:r w:rsidRPr="004B3070">
        <w:rPr>
          <w:rFonts w:ascii="Arial" w:hAnsi="Arial" w:cs="Arial"/>
          <w:bCs/>
          <w:sz w:val="22"/>
          <w:szCs w:val="22"/>
          <w:lang w:val="es-ES"/>
        </w:rPr>
        <w:t>VisaNet</w:t>
      </w:r>
      <w:proofErr w:type="spellEnd"/>
      <w:r w:rsidRPr="004B3070">
        <w:rPr>
          <w:rFonts w:ascii="Arial" w:hAnsi="Arial" w:cs="Arial"/>
          <w:bCs/>
          <w:sz w:val="22"/>
          <w:szCs w:val="22"/>
          <w:lang w:val="es-ES"/>
        </w:rPr>
        <w:t>, capaz de administrar más de 65.000 mensajes de transacciones por segundo, proteger contra el fraude a los consumidores y ofrecer garantías de pago a los comercios. Visa no es un banco y no emite tarjetas, extiende crédito o establece tasas y tarifas para los consumidores. Las innovaciones de Visa, sin embargo, permiten a las instituciones financieras que son clientes ofrecer a los consumidores más opciones: pagar en el momento con débito, pagar por adelantado con prepago o pagar a posteriori con productos de crédito. Para más información, visita nuestra página web (</w:t>
      </w:r>
      <w:hyperlink r:id="rId10" w:history="1">
        <w:r w:rsidRPr="00BA066B">
          <w:rPr>
            <w:lang w:val="es-ES"/>
          </w:rPr>
          <w:t>www.visaeurope.com</w:t>
        </w:r>
      </w:hyperlink>
      <w:r w:rsidRPr="004B3070">
        <w:rPr>
          <w:rFonts w:ascii="Arial" w:hAnsi="Arial" w:cs="Arial"/>
          <w:bCs/>
          <w:sz w:val="22"/>
          <w:szCs w:val="22"/>
          <w:lang w:val="es-ES"/>
        </w:rPr>
        <w:t xml:space="preserve">), el blog de Visa </w:t>
      </w:r>
      <w:proofErr w:type="spellStart"/>
      <w:r w:rsidRPr="004B3070">
        <w:rPr>
          <w:rFonts w:ascii="Arial" w:hAnsi="Arial" w:cs="Arial"/>
          <w:bCs/>
          <w:sz w:val="22"/>
          <w:szCs w:val="22"/>
          <w:lang w:val="es-ES"/>
        </w:rPr>
        <w:t>Vision</w:t>
      </w:r>
      <w:proofErr w:type="spellEnd"/>
      <w:r w:rsidRPr="004B3070">
        <w:rPr>
          <w:rFonts w:ascii="Arial" w:hAnsi="Arial" w:cs="Arial"/>
          <w:bCs/>
          <w:sz w:val="22"/>
          <w:szCs w:val="22"/>
          <w:lang w:val="es-ES"/>
        </w:rPr>
        <w:t xml:space="preserve"> (vision.visaeurope.com), y @</w:t>
      </w:r>
      <w:proofErr w:type="spellStart"/>
      <w:r w:rsidRPr="004B3070">
        <w:rPr>
          <w:rFonts w:ascii="Arial" w:hAnsi="Arial" w:cs="Arial"/>
          <w:bCs/>
          <w:sz w:val="22"/>
          <w:szCs w:val="22"/>
          <w:lang w:val="es-ES"/>
        </w:rPr>
        <w:t>Visa_ES</w:t>
      </w:r>
      <w:proofErr w:type="spellEnd"/>
    </w:p>
    <w:p w:rsidR="00B5235B" w:rsidRPr="004B3070" w:rsidRDefault="00B5235B" w:rsidP="00B5235B">
      <w:pPr>
        <w:ind w:left="-567" w:right="-427"/>
        <w:rPr>
          <w:rFonts w:ascii="Arial" w:hAnsi="Arial" w:cs="Arial"/>
          <w:bCs/>
          <w:sz w:val="22"/>
          <w:szCs w:val="22"/>
          <w:lang w:val="es-ES"/>
        </w:rPr>
      </w:pPr>
    </w:p>
    <w:p w:rsidR="00B5235B" w:rsidRPr="004B3070" w:rsidRDefault="00B5235B" w:rsidP="00B5235B">
      <w:pPr>
        <w:ind w:left="-567" w:right="-427"/>
        <w:rPr>
          <w:rFonts w:ascii="Arial" w:hAnsi="Arial" w:cs="Arial"/>
          <w:bCs/>
          <w:sz w:val="22"/>
          <w:szCs w:val="22"/>
          <w:lang w:val="es-ES"/>
        </w:rPr>
      </w:pPr>
      <w:r w:rsidRPr="004B3070">
        <w:rPr>
          <w:rFonts w:ascii="Arial" w:hAnsi="Arial" w:cs="Arial"/>
          <w:bCs/>
          <w:sz w:val="22"/>
          <w:szCs w:val="22"/>
          <w:lang w:val="es-ES"/>
        </w:rPr>
        <w:t xml:space="preserve">Contacto para prensa: </w:t>
      </w:r>
      <w:hyperlink r:id="rId11" w:history="1">
        <w:r w:rsidRPr="004B3070">
          <w:rPr>
            <w:rStyle w:val="Hipervnculo"/>
            <w:rFonts w:ascii="Arial" w:hAnsi="Arial" w:cs="Arial"/>
            <w:bCs/>
            <w:sz w:val="22"/>
            <w:szCs w:val="22"/>
            <w:lang w:val="es-ES"/>
          </w:rPr>
          <w:t>Visa.es@grayling.com</w:t>
        </w:r>
      </w:hyperlink>
    </w:p>
    <w:p w:rsidR="00B5235B" w:rsidRPr="004B3070" w:rsidRDefault="00B5235B" w:rsidP="00B5235B">
      <w:pPr>
        <w:rPr>
          <w:lang w:val="es-ES"/>
        </w:rPr>
      </w:pPr>
    </w:p>
    <w:p w:rsidR="002412C1" w:rsidRPr="00B5235B" w:rsidRDefault="002412C1" w:rsidP="00B5235B">
      <w:pPr>
        <w:ind w:left="-567" w:right="-490"/>
        <w:jc w:val="both"/>
        <w:rPr>
          <w:lang w:val="es-ES"/>
        </w:rPr>
      </w:pPr>
    </w:p>
    <w:sectPr w:rsidR="002412C1" w:rsidRPr="00B5235B" w:rsidSect="00241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E76" w:rsidRDefault="00B73E76" w:rsidP="00B5235B">
      <w:r>
        <w:separator/>
      </w:r>
    </w:p>
  </w:endnote>
  <w:endnote w:type="continuationSeparator" w:id="0">
    <w:p w:rsidR="00B73E76" w:rsidRDefault="00B73E76" w:rsidP="00B5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otham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E76" w:rsidRDefault="00B73E76" w:rsidP="00B5235B">
      <w:r>
        <w:separator/>
      </w:r>
    </w:p>
  </w:footnote>
  <w:footnote w:type="continuationSeparator" w:id="0">
    <w:p w:rsidR="00B73E76" w:rsidRDefault="00B73E76" w:rsidP="00B5235B">
      <w:r>
        <w:continuationSeparator/>
      </w:r>
    </w:p>
  </w:footnote>
  <w:footnote w:id="1">
    <w:p w:rsidR="00B5235B" w:rsidRDefault="00B5235B" w:rsidP="00B5235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2643D">
        <w:t xml:space="preserve">Visa encargó el Estudio de Pagos Digitales a la consultora, </w:t>
      </w:r>
      <w:proofErr w:type="spellStart"/>
      <w:r w:rsidRPr="0002643D">
        <w:t>Populus</w:t>
      </w:r>
      <w:proofErr w:type="spellEnd"/>
      <w:r w:rsidRPr="0002643D">
        <w:t xml:space="preserve">. El trabajo de campo se efectuó entre </w:t>
      </w:r>
      <w:r>
        <w:t>junio y julio de 2017 en 22</w:t>
      </w:r>
      <w:r w:rsidRPr="0002643D">
        <w:t xml:space="preserve"> países europeos: España, Alemania, Austria, Bélgica,</w:t>
      </w:r>
      <w:r>
        <w:t xml:space="preserve"> Bulgaria,</w:t>
      </w:r>
      <w:r w:rsidRPr="0002643D">
        <w:t xml:space="preserve"> Dinamarca, Eslov</w:t>
      </w:r>
      <w:r>
        <w:t>aquia</w:t>
      </w:r>
      <w:r w:rsidRPr="0002643D">
        <w:t xml:space="preserve">, Finlandia, Francia, </w:t>
      </w:r>
      <w:r>
        <w:t xml:space="preserve">Grecia, </w:t>
      </w:r>
      <w:r w:rsidRPr="0002643D">
        <w:t>Irlanda, Israel, Italia, Noruega, Países Bajos,</w:t>
      </w:r>
      <w:r>
        <w:t xml:space="preserve"> Polonia, Portugal, Reino Unido, República Checa</w:t>
      </w:r>
      <w:r w:rsidRPr="0002643D">
        <w:t>, Su</w:t>
      </w:r>
      <w:r>
        <w:t>ecia, Suiza</w:t>
      </w:r>
      <w:r w:rsidRPr="0002643D">
        <w:t xml:space="preserve"> y Turquía. Analizaron una muestra de </w:t>
      </w:r>
      <w:r>
        <w:t>42.308</w:t>
      </w:r>
      <w:r w:rsidRPr="0002643D">
        <w:t xml:space="preserve"> consumidores, con aproximadamente 2.000 respuestas por país.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041D"/>
    <w:multiLevelType w:val="hybridMultilevel"/>
    <w:tmpl w:val="09AA2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1233E9"/>
    <w:rsid w:val="0016575B"/>
    <w:rsid w:val="001A1073"/>
    <w:rsid w:val="002412C1"/>
    <w:rsid w:val="00327510"/>
    <w:rsid w:val="0042467F"/>
    <w:rsid w:val="00486D7F"/>
    <w:rsid w:val="00517DE9"/>
    <w:rsid w:val="00590EA8"/>
    <w:rsid w:val="00597DDD"/>
    <w:rsid w:val="005A66EF"/>
    <w:rsid w:val="005A7490"/>
    <w:rsid w:val="005E770E"/>
    <w:rsid w:val="00640669"/>
    <w:rsid w:val="006D324D"/>
    <w:rsid w:val="007519CD"/>
    <w:rsid w:val="00A2183A"/>
    <w:rsid w:val="00AD2FC8"/>
    <w:rsid w:val="00B5235B"/>
    <w:rsid w:val="00B540A7"/>
    <w:rsid w:val="00B73E76"/>
    <w:rsid w:val="00BA0EEA"/>
    <w:rsid w:val="00BA2BA7"/>
    <w:rsid w:val="00C618CB"/>
    <w:rsid w:val="00D11684"/>
    <w:rsid w:val="00D207AE"/>
    <w:rsid w:val="00DE6612"/>
    <w:rsid w:val="00E76C0D"/>
    <w:rsid w:val="00F17F07"/>
    <w:rsid w:val="00F273D2"/>
    <w:rsid w:val="00F66FB6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7D89E-CED1-4E0F-9F8F-506D4B30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FB6"/>
    <w:pPr>
      <w:ind w:left="720"/>
      <w:contextualSpacing/>
    </w:pPr>
  </w:style>
  <w:style w:type="character" w:styleId="Hipervnculo">
    <w:name w:val="Hyperlink"/>
    <w:rsid w:val="00F66FB6"/>
    <w:rPr>
      <w:color w:val="0000FF"/>
      <w:u w:val="single"/>
    </w:rPr>
  </w:style>
  <w:style w:type="character" w:styleId="Refdecomentario">
    <w:name w:val="annotation reference"/>
    <w:basedOn w:val="Fuentedeprrafopredeter"/>
    <w:rsid w:val="00F66F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6F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66FB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FB6"/>
    <w:rPr>
      <w:rFonts w:ascii="Tahoma" w:eastAsia="Times New Roman" w:hAnsi="Tahoma" w:cs="Tahoma"/>
      <w:sz w:val="16"/>
      <w:szCs w:val="16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235B"/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23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2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a.es@graylin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aeurop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5039</Characters>
  <Application>Microsoft Office Word</Application>
  <DocSecurity>4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Personalizacion.MSP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U0152456</dc:creator>
  <cp:lastModifiedBy>Blanca Salgado</cp:lastModifiedBy>
  <cp:revision>2</cp:revision>
  <cp:lastPrinted>2018-02-26T09:07:00Z</cp:lastPrinted>
  <dcterms:created xsi:type="dcterms:W3CDTF">2018-02-26T12:55:00Z</dcterms:created>
  <dcterms:modified xsi:type="dcterms:W3CDTF">2018-02-26T12:55:00Z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