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8A35" w14:textId="462967F5" w:rsidR="00D6531D" w:rsidRPr="00467FEC" w:rsidRDefault="00D6531D" w:rsidP="00467FEC">
      <w:pPr>
        <w:pStyle w:val="berschrift1"/>
        <w:spacing w:before="0" w:after="120" w:line="276" w:lineRule="auto"/>
        <w:ind w:right="2410"/>
        <w:rPr>
          <w:rFonts w:ascii="Sparkasse Rg" w:eastAsia="Sparkasse Rg" w:hAnsi="Sparkasse Rg" w:cs="Sparkasse Rg"/>
          <w:sz w:val="22"/>
          <w:szCs w:val="22"/>
        </w:rPr>
      </w:pPr>
      <w:r w:rsidRPr="00467FEC">
        <w:rPr>
          <w:rFonts w:ascii="Sparkasse Rg" w:eastAsia="Sparkasse Rg" w:hAnsi="Sparkasse Rg" w:cs="Sparkasse Rg"/>
          <w:sz w:val="22"/>
          <w:szCs w:val="22"/>
        </w:rPr>
        <w:t xml:space="preserve">Pressemeldung </w:t>
      </w:r>
      <w:r w:rsidR="00EF0D34" w:rsidRPr="00467FEC">
        <w:rPr>
          <w:rFonts w:ascii="Sparkasse Rg" w:eastAsia="Sparkasse Rg" w:hAnsi="Sparkasse Rg" w:cs="Sparkasse Rg"/>
          <w:sz w:val="22"/>
          <w:szCs w:val="22"/>
        </w:rPr>
        <w:t>2</w:t>
      </w:r>
      <w:r w:rsidR="009C2BDE">
        <w:rPr>
          <w:rFonts w:ascii="Sparkasse Rg" w:eastAsia="Sparkasse Rg" w:hAnsi="Sparkasse Rg" w:cs="Sparkasse Rg"/>
          <w:sz w:val="22"/>
          <w:szCs w:val="22"/>
        </w:rPr>
        <w:t>8</w:t>
      </w:r>
      <w:r w:rsidR="00EF0D34" w:rsidRPr="00467FEC">
        <w:rPr>
          <w:rFonts w:ascii="Sparkasse Rg" w:eastAsia="Sparkasse Rg" w:hAnsi="Sparkasse Rg" w:cs="Sparkasse Rg"/>
          <w:sz w:val="22"/>
          <w:szCs w:val="22"/>
        </w:rPr>
        <w:t>.10</w:t>
      </w:r>
      <w:r w:rsidRPr="00467FEC">
        <w:rPr>
          <w:rFonts w:ascii="Sparkasse Rg" w:eastAsia="Sparkasse Rg" w:hAnsi="Sparkasse Rg" w:cs="Sparkasse Rg"/>
          <w:sz w:val="22"/>
          <w:szCs w:val="22"/>
        </w:rPr>
        <w:t>.2020</w:t>
      </w:r>
    </w:p>
    <w:p w14:paraId="60A13D2C" w14:textId="77777777" w:rsidR="00341232" w:rsidRDefault="00341232" w:rsidP="00467FEC">
      <w:pPr>
        <w:pStyle w:val="StandardWeb"/>
        <w:shd w:val="clear" w:color="auto" w:fill="FFFFFF"/>
        <w:spacing w:after="120" w:line="360" w:lineRule="auto"/>
        <w:ind w:right="283"/>
        <w:rPr>
          <w:rFonts w:ascii="Sparkasse Rg" w:eastAsia="Sparkasse Rg" w:hAnsi="Sparkasse Rg" w:cs="Sparkasse Rg"/>
          <w:b/>
          <w:sz w:val="22"/>
          <w:szCs w:val="22"/>
        </w:rPr>
      </w:pPr>
    </w:p>
    <w:p w14:paraId="76B45DD0" w14:textId="37520547" w:rsidR="005E1352" w:rsidRPr="00467FEC" w:rsidRDefault="009C2BDE" w:rsidP="00467FEC">
      <w:pPr>
        <w:pStyle w:val="StandardWeb"/>
        <w:shd w:val="clear" w:color="auto" w:fill="FFFFFF"/>
        <w:spacing w:after="120" w:line="360" w:lineRule="auto"/>
        <w:ind w:right="283"/>
        <w:rPr>
          <w:rStyle w:val="Fett"/>
          <w:rFonts w:ascii="Sparkasse Rg" w:hAnsi="Sparkasse Rg" w:cs="Arial"/>
          <w:color w:val="000000" w:themeColor="text1"/>
          <w:sz w:val="22"/>
          <w:szCs w:val="22"/>
        </w:rPr>
      </w:pPr>
      <w:r>
        <w:rPr>
          <w:rFonts w:ascii="Sparkasse Rg" w:eastAsia="Sparkasse Rg" w:hAnsi="Sparkasse Rg" w:cs="Sparkasse Rg"/>
          <w:b/>
          <w:sz w:val="22"/>
          <w:szCs w:val="22"/>
        </w:rPr>
        <w:t xml:space="preserve">Geld </w:t>
      </w:r>
      <w:r w:rsidR="00CB1317">
        <w:rPr>
          <w:rFonts w:ascii="Sparkasse Rg" w:eastAsia="Sparkasse Rg" w:hAnsi="Sparkasse Rg" w:cs="Sparkasse Rg"/>
          <w:b/>
          <w:sz w:val="22"/>
          <w:szCs w:val="22"/>
        </w:rPr>
        <w:t xml:space="preserve">nachhaltig </w:t>
      </w:r>
      <w:r>
        <w:rPr>
          <w:rFonts w:ascii="Sparkasse Rg" w:eastAsia="Sparkasse Rg" w:hAnsi="Sparkasse Rg" w:cs="Sparkasse Rg"/>
          <w:b/>
          <w:sz w:val="22"/>
          <w:szCs w:val="22"/>
        </w:rPr>
        <w:t>anlegen mit gutem Gewissen</w:t>
      </w:r>
    </w:p>
    <w:p w14:paraId="29C2B803" w14:textId="52E99974" w:rsidR="00467FEC" w:rsidRDefault="00C70CE1" w:rsidP="009C2BDE">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sidRPr="00467FEC">
        <w:rPr>
          <w:rStyle w:val="Fett"/>
          <w:rFonts w:ascii="Sparkasse Rg" w:hAnsi="Sparkasse Rg" w:cs="Arial"/>
          <w:color w:val="000000" w:themeColor="text1"/>
          <w:sz w:val="22"/>
          <w:szCs w:val="22"/>
        </w:rPr>
        <w:t>(</w:t>
      </w:r>
      <w:proofErr w:type="spellStart"/>
      <w:r w:rsidRPr="00467FEC">
        <w:rPr>
          <w:rStyle w:val="Fett"/>
          <w:rFonts w:ascii="Sparkasse Rg" w:hAnsi="Sparkasse Rg" w:cs="Arial"/>
          <w:color w:val="000000" w:themeColor="text1"/>
          <w:sz w:val="22"/>
          <w:szCs w:val="22"/>
        </w:rPr>
        <w:t>sskm</w:t>
      </w:r>
      <w:proofErr w:type="spellEnd"/>
      <w:r w:rsidRPr="00467FEC">
        <w:rPr>
          <w:rStyle w:val="Fett"/>
          <w:rFonts w:ascii="Sparkasse Rg" w:hAnsi="Sparkasse Rg" w:cs="Arial"/>
          <w:color w:val="000000" w:themeColor="text1"/>
          <w:sz w:val="22"/>
          <w:szCs w:val="22"/>
        </w:rPr>
        <w:t xml:space="preserve">). </w:t>
      </w:r>
      <w:r w:rsidR="009C2BDE" w:rsidRPr="009C2BDE">
        <w:rPr>
          <w:rStyle w:val="Fett"/>
          <w:rFonts w:ascii="Sparkasse Rg" w:hAnsi="Sparkasse Rg" w:cs="Arial"/>
          <w:b w:val="0"/>
          <w:color w:val="000000" w:themeColor="text1"/>
          <w:sz w:val="22"/>
          <w:szCs w:val="22"/>
        </w:rPr>
        <w:t xml:space="preserve">Pünktlich zum </w:t>
      </w:r>
      <w:r w:rsidR="009C2BDE">
        <w:rPr>
          <w:rStyle w:val="Fett"/>
          <w:rFonts w:ascii="Sparkasse Rg" w:hAnsi="Sparkasse Rg" w:cs="Arial"/>
          <w:b w:val="0"/>
          <w:color w:val="000000" w:themeColor="text1"/>
          <w:sz w:val="22"/>
          <w:szCs w:val="22"/>
        </w:rPr>
        <w:t>Weltspartag bi</w:t>
      </w:r>
      <w:r w:rsidR="008535FC">
        <w:rPr>
          <w:rStyle w:val="Fett"/>
          <w:rFonts w:ascii="Sparkasse Rg" w:hAnsi="Sparkasse Rg" w:cs="Arial"/>
          <w:b w:val="0"/>
          <w:color w:val="000000" w:themeColor="text1"/>
          <w:sz w:val="22"/>
          <w:szCs w:val="22"/>
        </w:rPr>
        <w:t xml:space="preserve">etet die Stadtsparkasse München (SSKM) </w:t>
      </w:r>
      <w:r w:rsidR="009C2BDE">
        <w:rPr>
          <w:rStyle w:val="Fett"/>
          <w:rFonts w:ascii="Sparkasse Rg" w:hAnsi="Sparkasse Rg" w:cs="Arial"/>
          <w:b w:val="0"/>
          <w:color w:val="000000" w:themeColor="text1"/>
          <w:sz w:val="22"/>
          <w:szCs w:val="22"/>
        </w:rPr>
        <w:t xml:space="preserve">ihren Kunden ein neues Anlageprodukt an: den SSKM Nachhaltigkeit </w:t>
      </w:r>
      <w:proofErr w:type="spellStart"/>
      <w:r w:rsidR="006348B1">
        <w:rPr>
          <w:rStyle w:val="Fett"/>
          <w:rFonts w:ascii="Sparkasse Rg" w:hAnsi="Sparkasse Rg" w:cs="Arial"/>
          <w:b w:val="0"/>
          <w:color w:val="000000" w:themeColor="text1"/>
          <w:sz w:val="22"/>
          <w:szCs w:val="22"/>
        </w:rPr>
        <w:t>Invest</w:t>
      </w:r>
      <w:proofErr w:type="spellEnd"/>
      <w:r w:rsidR="009C2BDE">
        <w:rPr>
          <w:rStyle w:val="Fett"/>
          <w:rFonts w:ascii="Sparkasse Rg" w:hAnsi="Sparkasse Rg" w:cs="Arial"/>
          <w:b w:val="0"/>
          <w:color w:val="000000" w:themeColor="text1"/>
          <w:sz w:val="22"/>
          <w:szCs w:val="22"/>
        </w:rPr>
        <w:t>.</w:t>
      </w:r>
      <w:r w:rsidR="006E7E60">
        <w:rPr>
          <w:rStyle w:val="Fett"/>
          <w:rFonts w:ascii="Sparkasse Rg" w:hAnsi="Sparkasse Rg" w:cs="Arial"/>
          <w:b w:val="0"/>
          <w:color w:val="000000" w:themeColor="text1"/>
          <w:sz w:val="22"/>
          <w:szCs w:val="22"/>
        </w:rPr>
        <w:t xml:space="preserve"> </w:t>
      </w:r>
      <w:r w:rsidR="00CB1317">
        <w:rPr>
          <w:rStyle w:val="Fett"/>
          <w:rFonts w:ascii="Sparkasse Rg" w:hAnsi="Sparkasse Rg" w:cs="Arial"/>
          <w:b w:val="0"/>
          <w:color w:val="000000" w:themeColor="text1"/>
          <w:sz w:val="22"/>
          <w:szCs w:val="22"/>
        </w:rPr>
        <w:t xml:space="preserve">Bisher wurde eine Geldanlage nach den Kriterien Rendite, Sicherheit und Liquidität bewertet. Marktchancen zu nutzen und dabei verantwortungsvoll investieren wird für Anleger immer wichtiger. Unternehmen und Staaten haben durch ihre Handlungsweise einen großen Einfluss auf die Umwelt und auf soziale Bedingungen. Durch die Investition in Aktien und Anleihen von Ausstellern mit nachhaltiger Handlungsweise wird ein umweltschonendes und sozialverträgliches Verhalten in Wirtschaft und Politik gefördert. Die dahinterstehende </w:t>
      </w:r>
      <w:r w:rsidR="008535FC">
        <w:rPr>
          <w:rStyle w:val="Fett"/>
          <w:rFonts w:ascii="Sparkasse Rg" w:hAnsi="Sparkasse Rg" w:cs="Arial"/>
          <w:b w:val="0"/>
          <w:color w:val="000000" w:themeColor="text1"/>
          <w:sz w:val="22"/>
          <w:szCs w:val="22"/>
        </w:rPr>
        <w:t xml:space="preserve">emittierende </w:t>
      </w:r>
      <w:r w:rsidR="00CB1317">
        <w:rPr>
          <w:rStyle w:val="Fett"/>
          <w:rFonts w:ascii="Sparkasse Rg" w:hAnsi="Sparkasse Rg" w:cs="Arial"/>
          <w:b w:val="0"/>
          <w:color w:val="000000" w:themeColor="text1"/>
          <w:sz w:val="22"/>
          <w:szCs w:val="22"/>
        </w:rPr>
        <w:t>Fondsgesellschaft ist die Deka Investment GmbH, Fondsgesellschaft der Sparkassen-Finanzgruppe.</w:t>
      </w:r>
    </w:p>
    <w:p w14:paraId="207481E6" w14:textId="52DD71EE" w:rsidR="008535FC" w:rsidRDefault="008535FC" w:rsidP="009C2BDE">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Pr>
          <w:rStyle w:val="Fett"/>
          <w:rFonts w:ascii="Sparkasse Rg" w:hAnsi="Sparkasse Rg" w:cs="Arial"/>
          <w:b w:val="0"/>
          <w:color w:val="000000" w:themeColor="text1"/>
          <w:sz w:val="22"/>
          <w:szCs w:val="22"/>
        </w:rPr>
        <w:t xml:space="preserve">Mit dem SSKM Nachhaltigkeit </w:t>
      </w:r>
      <w:proofErr w:type="spellStart"/>
      <w:r>
        <w:rPr>
          <w:rStyle w:val="Fett"/>
          <w:rFonts w:ascii="Sparkasse Rg" w:hAnsi="Sparkasse Rg" w:cs="Arial"/>
          <w:b w:val="0"/>
          <w:color w:val="000000" w:themeColor="text1"/>
          <w:sz w:val="22"/>
          <w:szCs w:val="22"/>
        </w:rPr>
        <w:t>Invest</w:t>
      </w:r>
      <w:proofErr w:type="spellEnd"/>
      <w:r>
        <w:rPr>
          <w:rStyle w:val="Fett"/>
          <w:rFonts w:ascii="Sparkasse Rg" w:hAnsi="Sparkasse Rg" w:cs="Arial"/>
          <w:b w:val="0"/>
          <w:color w:val="000000" w:themeColor="text1"/>
          <w:sz w:val="22"/>
          <w:szCs w:val="22"/>
        </w:rPr>
        <w:t xml:space="preserve"> kombinieren Kunden die Flexibilität eines global investierenden nachhaltigen Mischfonds mit einem modernen Risikomanagement für eine zukunftsträchtige und verantwortungsbewusste Geldanlage. Für die Auswahl der Titel, die in den Mischfonds aufgenommen werden, wird die finanzielle Analyse von Unternehmen und Staaten um eine zusätzliche Komponente ergänzt, wodurch Chancen und Risiken besser bewertet werden können und nachhaltiges Handeln gefördert werden kann. Der SSKM Nachhaltigkeit </w:t>
      </w:r>
      <w:proofErr w:type="spellStart"/>
      <w:r>
        <w:rPr>
          <w:rStyle w:val="Fett"/>
          <w:rFonts w:ascii="Sparkasse Rg" w:hAnsi="Sparkasse Rg" w:cs="Arial"/>
          <w:b w:val="0"/>
          <w:color w:val="000000" w:themeColor="text1"/>
          <w:sz w:val="22"/>
          <w:szCs w:val="22"/>
        </w:rPr>
        <w:t>Invest</w:t>
      </w:r>
      <w:proofErr w:type="spellEnd"/>
      <w:r>
        <w:rPr>
          <w:rStyle w:val="Fett"/>
          <w:rFonts w:ascii="Sparkasse Rg" w:hAnsi="Sparkasse Rg" w:cs="Arial"/>
          <w:b w:val="0"/>
          <w:color w:val="000000" w:themeColor="text1"/>
          <w:sz w:val="22"/>
          <w:szCs w:val="22"/>
        </w:rPr>
        <w:t xml:space="preserve"> investiert in ein breites Anlageuniversum unterschiedlicher Anlageklassen und Regionen. 25 bis 75 % des Fondsvermögens können global und branchenweit über unterschiedliche Aussteller breit gestreut, unter Berücksichtigung von Nachhaltigkeitsaspekten, in Aktien investiert werden.</w:t>
      </w:r>
      <w:r w:rsidR="00E34E4D">
        <w:rPr>
          <w:rStyle w:val="Fett"/>
          <w:rFonts w:ascii="Sparkasse Rg" w:hAnsi="Sparkasse Rg" w:cs="Arial"/>
          <w:b w:val="0"/>
          <w:color w:val="000000" w:themeColor="text1"/>
          <w:sz w:val="22"/>
          <w:szCs w:val="22"/>
        </w:rPr>
        <w:t xml:space="preserve"> Bei der Auswahl der Aktien wird darauf geachtet, solche Titel auszuwählen, die niedrige Kursschwankungen e</w:t>
      </w:r>
      <w:r w:rsidR="00521BE2">
        <w:rPr>
          <w:rStyle w:val="Fett"/>
          <w:rFonts w:ascii="Sparkasse Rg" w:hAnsi="Sparkasse Rg" w:cs="Arial"/>
          <w:b w:val="0"/>
          <w:color w:val="000000" w:themeColor="text1"/>
          <w:sz w:val="22"/>
          <w:szCs w:val="22"/>
        </w:rPr>
        <w:t>rwarten lassen. B</w:t>
      </w:r>
      <w:r w:rsidR="00E34E4D">
        <w:rPr>
          <w:rStyle w:val="Fett"/>
          <w:rFonts w:ascii="Sparkasse Rg" w:hAnsi="Sparkasse Rg" w:cs="Arial"/>
          <w:b w:val="0"/>
          <w:color w:val="000000" w:themeColor="text1"/>
          <w:sz w:val="22"/>
          <w:szCs w:val="22"/>
        </w:rPr>
        <w:t xml:space="preserve">is </w:t>
      </w:r>
      <w:r w:rsidR="00521BE2">
        <w:rPr>
          <w:rStyle w:val="Fett"/>
          <w:rFonts w:ascii="Sparkasse Rg" w:hAnsi="Sparkasse Rg" w:cs="Arial"/>
          <w:b w:val="0"/>
          <w:color w:val="000000" w:themeColor="text1"/>
          <w:sz w:val="22"/>
          <w:szCs w:val="22"/>
        </w:rPr>
        <w:t xml:space="preserve">zu </w:t>
      </w:r>
      <w:r w:rsidR="00E841C0">
        <w:rPr>
          <w:rStyle w:val="Fett"/>
          <w:rFonts w:ascii="Sparkasse Rg" w:hAnsi="Sparkasse Rg" w:cs="Arial"/>
          <w:b w:val="0"/>
          <w:color w:val="000000" w:themeColor="text1"/>
          <w:sz w:val="22"/>
          <w:szCs w:val="22"/>
        </w:rPr>
        <w:t>7</w:t>
      </w:r>
      <w:r w:rsidR="00E34E4D">
        <w:rPr>
          <w:rStyle w:val="Fett"/>
          <w:rFonts w:ascii="Sparkasse Rg" w:hAnsi="Sparkasse Rg" w:cs="Arial"/>
          <w:b w:val="0"/>
          <w:color w:val="000000" w:themeColor="text1"/>
          <w:sz w:val="22"/>
          <w:szCs w:val="22"/>
        </w:rPr>
        <w:t>5</w:t>
      </w:r>
      <w:r w:rsidR="00521BE2">
        <w:rPr>
          <w:rStyle w:val="Fett"/>
          <w:rFonts w:ascii="Sparkasse Rg" w:hAnsi="Sparkasse Rg" w:cs="Arial"/>
          <w:b w:val="0"/>
          <w:color w:val="000000" w:themeColor="text1"/>
          <w:sz w:val="22"/>
          <w:szCs w:val="22"/>
        </w:rPr>
        <w:t> </w:t>
      </w:r>
      <w:r w:rsidR="00E34E4D">
        <w:rPr>
          <w:rStyle w:val="Fett"/>
          <w:rFonts w:ascii="Sparkasse Rg" w:hAnsi="Sparkasse Rg" w:cs="Arial"/>
          <w:b w:val="0"/>
          <w:color w:val="000000" w:themeColor="text1"/>
          <w:sz w:val="22"/>
          <w:szCs w:val="22"/>
        </w:rPr>
        <w:t>% des Fondsvermögens können weltweit, unter Berücksichtigung von Nachhaltigkeitsaspekten, in unterschiedliche Rentenanlageklassen investiert werden. Währungen können als mögliche Ertragsquelle im Fonds genutzt werden.</w:t>
      </w:r>
    </w:p>
    <w:p w14:paraId="1A7EF2FB" w14:textId="14D34A93" w:rsidR="00E34E4D" w:rsidRDefault="00E34E4D" w:rsidP="00E34E4D">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sidRPr="00E34E4D">
        <w:rPr>
          <w:rStyle w:val="Fett"/>
          <w:rFonts w:ascii="Sparkasse Rg" w:hAnsi="Sparkasse Rg" w:cs="Arial"/>
          <w:b w:val="0"/>
          <w:color w:val="000000" w:themeColor="text1"/>
          <w:sz w:val="22"/>
          <w:szCs w:val="22"/>
        </w:rPr>
        <w:t>In Unternehmen und Staaten, die gegen elementare</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Nachhaltigkeitskriterien verstoßen, wird grundsätzlich</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nicht investiert. Dazu gehören z. B. bei Unternehmen</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die Produktion von Rüstungsgütern, Atomenergie</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und der Kohleabbau (ab einem Umsatzanteil von</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über 5 %). Ebenso ausgeschlossen werden Produzenten</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kontroverser Waffen und genveränderten</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Saatguts sowie Unternehmen und Staaten mit eklatanten</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lastRenderedPageBreak/>
        <w:t>Verstößen gegen Menschenrechte oder</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eklatanten Vorfällen im Bereich der Nachhaltigkeit</w:t>
      </w:r>
      <w:r>
        <w:rPr>
          <w:rStyle w:val="Fett"/>
          <w:rFonts w:ascii="Sparkasse Rg" w:hAnsi="Sparkasse Rg" w:cs="Arial"/>
          <w:b w:val="0"/>
          <w:color w:val="000000" w:themeColor="text1"/>
          <w:sz w:val="22"/>
          <w:szCs w:val="22"/>
        </w:rPr>
        <w:t xml:space="preserve"> </w:t>
      </w:r>
      <w:r w:rsidRPr="00E34E4D">
        <w:rPr>
          <w:rStyle w:val="Fett"/>
          <w:rFonts w:ascii="Sparkasse Rg" w:hAnsi="Sparkasse Rg" w:cs="Arial"/>
          <w:b w:val="0"/>
          <w:color w:val="000000" w:themeColor="text1"/>
          <w:sz w:val="22"/>
          <w:szCs w:val="22"/>
        </w:rPr>
        <w:t>wie Umweltzerstörung, Bestechung und Korruption.</w:t>
      </w:r>
    </w:p>
    <w:p w14:paraId="5EBA42B3" w14:textId="29FCADEC" w:rsidR="009C2BDE" w:rsidRPr="00E34E4D" w:rsidRDefault="00E34E4D" w:rsidP="00E34E4D">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sidRPr="00E34E4D">
        <w:rPr>
          <w:rStyle w:val="Fett"/>
          <w:rFonts w:ascii="Sparkasse Rg" w:hAnsi="Sparkasse Rg" w:cs="Arial"/>
          <w:b w:val="0"/>
          <w:color w:val="000000" w:themeColor="text1"/>
          <w:sz w:val="22"/>
          <w:szCs w:val="22"/>
        </w:rPr>
        <w:t xml:space="preserve">Auch die Stadtsparkasse München investiert über einen Spezialfonds, dessen einzige Anlegerin die Sparkasse ist, in den SSKM Nachhaltigkeit </w:t>
      </w:r>
      <w:proofErr w:type="spellStart"/>
      <w:r w:rsidRPr="00E34E4D">
        <w:rPr>
          <w:rStyle w:val="Fett"/>
          <w:rFonts w:ascii="Sparkasse Rg" w:hAnsi="Sparkasse Rg" w:cs="Arial"/>
          <w:b w:val="0"/>
          <w:color w:val="000000" w:themeColor="text1"/>
          <w:sz w:val="22"/>
          <w:szCs w:val="22"/>
        </w:rPr>
        <w:t>Invest</w:t>
      </w:r>
      <w:proofErr w:type="spellEnd"/>
      <w:r w:rsidRPr="00E34E4D">
        <w:rPr>
          <w:rStyle w:val="Fett"/>
          <w:rFonts w:ascii="Sparkasse Rg" w:hAnsi="Sparkasse Rg" w:cs="Arial"/>
          <w:b w:val="0"/>
          <w:color w:val="000000" w:themeColor="text1"/>
          <w:sz w:val="22"/>
          <w:szCs w:val="22"/>
        </w:rPr>
        <w:t>.</w:t>
      </w:r>
      <w:r>
        <w:rPr>
          <w:rStyle w:val="Fett"/>
          <w:rFonts w:ascii="Sparkasse Rg" w:hAnsi="Sparkasse Rg" w:cs="Arial"/>
          <w:b w:val="0"/>
          <w:color w:val="000000" w:themeColor="text1"/>
          <w:sz w:val="22"/>
          <w:szCs w:val="22"/>
        </w:rPr>
        <w:t xml:space="preserve"> Mit dem SSKM Nachhaltigkeit </w:t>
      </w:r>
      <w:proofErr w:type="spellStart"/>
      <w:r>
        <w:rPr>
          <w:rStyle w:val="Fett"/>
          <w:rFonts w:ascii="Sparkasse Rg" w:hAnsi="Sparkasse Rg" w:cs="Arial"/>
          <w:b w:val="0"/>
          <w:color w:val="000000" w:themeColor="text1"/>
          <w:sz w:val="22"/>
          <w:szCs w:val="22"/>
        </w:rPr>
        <w:t>Invest</w:t>
      </w:r>
      <w:proofErr w:type="spellEnd"/>
      <w:r>
        <w:rPr>
          <w:rStyle w:val="Fett"/>
          <w:rFonts w:ascii="Sparkasse Rg" w:hAnsi="Sparkasse Rg" w:cs="Arial"/>
          <w:b w:val="0"/>
          <w:color w:val="000000" w:themeColor="text1"/>
          <w:sz w:val="22"/>
          <w:szCs w:val="22"/>
        </w:rPr>
        <w:t xml:space="preserve"> legen Kunden ihr Vermögen so an, wie die Stadtsparkasse München ihre eigenen Gelder anlegt.</w:t>
      </w:r>
    </w:p>
    <w:p w14:paraId="7461D434" w14:textId="157D6A9A" w:rsidR="00E34E4D" w:rsidRDefault="0025720D" w:rsidP="0025720D">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sidRPr="0025720D">
        <w:rPr>
          <w:rStyle w:val="Fett"/>
          <w:rFonts w:ascii="Sparkasse Rg" w:hAnsi="Sparkasse Rg" w:cs="Arial"/>
          <w:b w:val="0"/>
          <w:color w:val="000000" w:themeColor="text1"/>
          <w:sz w:val="22"/>
          <w:szCs w:val="22"/>
        </w:rPr>
        <w:t xml:space="preserve">Der SSKM Nachhaltigkeit </w:t>
      </w:r>
      <w:proofErr w:type="spellStart"/>
      <w:r w:rsidRPr="0025720D">
        <w:rPr>
          <w:rStyle w:val="Fett"/>
          <w:rFonts w:ascii="Sparkasse Rg" w:hAnsi="Sparkasse Rg" w:cs="Arial"/>
          <w:b w:val="0"/>
          <w:color w:val="000000" w:themeColor="text1"/>
          <w:sz w:val="22"/>
          <w:szCs w:val="22"/>
        </w:rPr>
        <w:t>Invest</w:t>
      </w:r>
      <w:proofErr w:type="spellEnd"/>
      <w:r w:rsidRPr="0025720D">
        <w:rPr>
          <w:rStyle w:val="Fett"/>
          <w:rFonts w:ascii="Sparkasse Rg" w:hAnsi="Sparkasse Rg" w:cs="Arial"/>
          <w:b w:val="0"/>
          <w:color w:val="000000" w:themeColor="text1"/>
          <w:sz w:val="22"/>
          <w:szCs w:val="22"/>
        </w:rPr>
        <w:t xml:space="preserve"> bietet die Chance auf Kurssteigerungen der im Fonds enthaltenen Wertpapiere und Erträge aus den Wertpapieren. Dieser Fonds unterliegt Wertschwankungen (z. B.</w:t>
      </w:r>
      <w:r>
        <w:rPr>
          <w:rStyle w:val="Fett"/>
          <w:rFonts w:ascii="Sparkasse Rg" w:hAnsi="Sparkasse Rg" w:cs="Arial"/>
          <w:b w:val="0"/>
          <w:color w:val="000000" w:themeColor="text1"/>
          <w:sz w:val="22"/>
          <w:szCs w:val="22"/>
        </w:rPr>
        <w:t xml:space="preserve"> </w:t>
      </w:r>
      <w:r w:rsidRPr="0025720D">
        <w:rPr>
          <w:rStyle w:val="Fett"/>
          <w:rFonts w:ascii="Sparkasse Rg" w:hAnsi="Sparkasse Rg" w:cs="Arial"/>
          <w:b w:val="0"/>
          <w:color w:val="000000" w:themeColor="text1"/>
          <w:sz w:val="22"/>
          <w:szCs w:val="22"/>
        </w:rPr>
        <w:t>bedingt durch Aktienmarktschwankungen), die sich</w:t>
      </w:r>
      <w:r>
        <w:rPr>
          <w:rStyle w:val="Fett"/>
          <w:rFonts w:ascii="Sparkasse Rg" w:hAnsi="Sparkasse Rg" w:cs="Arial"/>
          <w:b w:val="0"/>
          <w:color w:val="000000" w:themeColor="text1"/>
          <w:sz w:val="22"/>
          <w:szCs w:val="22"/>
        </w:rPr>
        <w:t xml:space="preserve"> </w:t>
      </w:r>
      <w:r w:rsidRPr="0025720D">
        <w:rPr>
          <w:rStyle w:val="Fett"/>
          <w:rFonts w:ascii="Sparkasse Rg" w:hAnsi="Sparkasse Rg" w:cs="Arial"/>
          <w:b w:val="0"/>
          <w:color w:val="000000" w:themeColor="text1"/>
          <w:sz w:val="22"/>
          <w:szCs w:val="22"/>
        </w:rPr>
        <w:t>auf das Anlageergebnis auch negativ auswirken</w:t>
      </w:r>
      <w:r>
        <w:rPr>
          <w:rStyle w:val="Fett"/>
          <w:rFonts w:ascii="Sparkasse Rg" w:hAnsi="Sparkasse Rg" w:cs="Arial"/>
          <w:b w:val="0"/>
          <w:color w:val="000000" w:themeColor="text1"/>
          <w:sz w:val="22"/>
          <w:szCs w:val="22"/>
        </w:rPr>
        <w:t xml:space="preserve"> </w:t>
      </w:r>
      <w:r w:rsidRPr="0025720D">
        <w:rPr>
          <w:rStyle w:val="Fett"/>
          <w:rFonts w:ascii="Sparkasse Rg" w:hAnsi="Sparkasse Rg" w:cs="Arial"/>
          <w:b w:val="0"/>
          <w:color w:val="000000" w:themeColor="text1"/>
          <w:sz w:val="22"/>
          <w:szCs w:val="22"/>
        </w:rPr>
        <w:t>können.</w:t>
      </w:r>
    </w:p>
    <w:p w14:paraId="076F4C6C" w14:textId="74645847" w:rsidR="0025720D" w:rsidRDefault="0025720D" w:rsidP="0025720D">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Pr>
          <w:rStyle w:val="Fett"/>
          <w:rFonts w:ascii="Sparkasse Rg" w:hAnsi="Sparkasse Rg" w:cs="Arial"/>
          <w:b w:val="0"/>
          <w:color w:val="000000" w:themeColor="text1"/>
          <w:sz w:val="22"/>
          <w:szCs w:val="22"/>
        </w:rPr>
        <w:t xml:space="preserve">Die Stadtsparkasse München lädt ihre Kunden zu einem ausführlichen Beratungsgespräch ein. In einer ganzheitlichen Analyse </w:t>
      </w:r>
      <w:r w:rsidR="00521BE2">
        <w:rPr>
          <w:rStyle w:val="Fett"/>
          <w:rFonts w:ascii="Sparkasse Rg" w:hAnsi="Sparkasse Rg" w:cs="Arial"/>
          <w:b w:val="0"/>
          <w:color w:val="000000" w:themeColor="text1"/>
          <w:sz w:val="22"/>
          <w:szCs w:val="22"/>
        </w:rPr>
        <w:t>mit Hilfe</w:t>
      </w:r>
      <w:r>
        <w:rPr>
          <w:rStyle w:val="Fett"/>
          <w:rFonts w:ascii="Sparkasse Rg" w:hAnsi="Sparkasse Rg" w:cs="Arial"/>
          <w:b w:val="0"/>
          <w:color w:val="000000" w:themeColor="text1"/>
          <w:sz w:val="22"/>
          <w:szCs w:val="22"/>
        </w:rPr>
        <w:t xml:space="preserve"> des S</w:t>
      </w:r>
      <w:r>
        <w:rPr>
          <w:rStyle w:val="Fett"/>
          <w:rFonts w:ascii="Sparkasse Rg" w:hAnsi="Sparkasse Rg" w:cs="Arial"/>
          <w:b w:val="0"/>
          <w:color w:val="000000" w:themeColor="text1"/>
          <w:sz w:val="22"/>
          <w:szCs w:val="22"/>
        </w:rPr>
        <w:noBreakHyphen/>
        <w:t xml:space="preserve">Finanzkonzepts klären Berater individuell mit Kunden ab, ob diese neue Anlagemöglichkeit </w:t>
      </w:r>
      <w:r w:rsidR="00521BE2">
        <w:rPr>
          <w:rStyle w:val="Fett"/>
          <w:rFonts w:ascii="Sparkasse Rg" w:hAnsi="Sparkasse Rg" w:cs="Arial"/>
          <w:b w:val="0"/>
          <w:color w:val="000000" w:themeColor="text1"/>
          <w:sz w:val="22"/>
          <w:szCs w:val="22"/>
        </w:rPr>
        <w:t xml:space="preserve">für sie eine </w:t>
      </w:r>
      <w:r w:rsidR="00344EB6">
        <w:rPr>
          <w:rStyle w:val="Fett"/>
          <w:rFonts w:ascii="Sparkasse Rg" w:hAnsi="Sparkasse Rg" w:cs="Arial"/>
          <w:b w:val="0"/>
          <w:color w:val="000000" w:themeColor="text1"/>
          <w:sz w:val="22"/>
          <w:szCs w:val="22"/>
        </w:rPr>
        <w:t>passend</w:t>
      </w:r>
      <w:r w:rsidR="00521BE2">
        <w:rPr>
          <w:rStyle w:val="Fett"/>
          <w:rFonts w:ascii="Sparkasse Rg" w:hAnsi="Sparkasse Rg" w:cs="Arial"/>
          <w:b w:val="0"/>
          <w:color w:val="000000" w:themeColor="text1"/>
          <w:sz w:val="22"/>
          <w:szCs w:val="22"/>
        </w:rPr>
        <w:t>e</w:t>
      </w:r>
      <w:r w:rsidR="00344EB6">
        <w:rPr>
          <w:rStyle w:val="Fett"/>
          <w:rFonts w:ascii="Sparkasse Rg" w:hAnsi="Sparkasse Rg" w:cs="Arial"/>
          <w:b w:val="0"/>
          <w:color w:val="000000" w:themeColor="text1"/>
          <w:sz w:val="22"/>
          <w:szCs w:val="22"/>
        </w:rPr>
        <w:t xml:space="preserve"> </w:t>
      </w:r>
      <w:r w:rsidR="00521BE2">
        <w:rPr>
          <w:rStyle w:val="Fett"/>
          <w:rFonts w:ascii="Sparkasse Rg" w:hAnsi="Sparkasse Rg" w:cs="Arial"/>
          <w:b w:val="0"/>
          <w:color w:val="000000" w:themeColor="text1"/>
          <w:sz w:val="22"/>
          <w:szCs w:val="22"/>
        </w:rPr>
        <w:t xml:space="preserve">Anlagealternative </w:t>
      </w:r>
      <w:r w:rsidR="00344EB6">
        <w:rPr>
          <w:rStyle w:val="Fett"/>
          <w:rFonts w:ascii="Sparkasse Rg" w:hAnsi="Sparkasse Rg" w:cs="Arial"/>
          <w:b w:val="0"/>
          <w:color w:val="000000" w:themeColor="text1"/>
          <w:sz w:val="22"/>
          <w:szCs w:val="22"/>
        </w:rPr>
        <w:t>ist.</w:t>
      </w:r>
    </w:p>
    <w:p w14:paraId="0D18C500" w14:textId="0529AB93" w:rsidR="0025720D" w:rsidRDefault="0025720D" w:rsidP="0025720D">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Pr>
          <w:rStyle w:val="Fett"/>
          <w:rFonts w:ascii="Sparkasse Rg" w:hAnsi="Sparkasse Rg" w:cs="Arial"/>
          <w:b w:val="0"/>
          <w:color w:val="000000" w:themeColor="text1"/>
          <w:sz w:val="22"/>
          <w:szCs w:val="22"/>
        </w:rPr>
        <w:t>WKN:</w:t>
      </w:r>
      <w:r w:rsidR="00344EB6">
        <w:rPr>
          <w:rStyle w:val="Fett"/>
          <w:rFonts w:ascii="Sparkasse Rg" w:hAnsi="Sparkasse Rg" w:cs="Arial"/>
          <w:b w:val="0"/>
          <w:color w:val="000000" w:themeColor="text1"/>
          <w:sz w:val="22"/>
          <w:szCs w:val="22"/>
        </w:rPr>
        <w:t xml:space="preserve"> DK0V6A</w:t>
      </w:r>
    </w:p>
    <w:p w14:paraId="2AA7DE60" w14:textId="0380F5B9" w:rsidR="00344EB6" w:rsidRDefault="00344EB6" w:rsidP="0025720D">
      <w:pPr>
        <w:pStyle w:val="StandardWeb"/>
        <w:shd w:val="clear" w:color="auto" w:fill="FFFFFF"/>
        <w:spacing w:after="120" w:line="312" w:lineRule="auto"/>
        <w:ind w:right="1701"/>
        <w:rPr>
          <w:rStyle w:val="Fett"/>
          <w:rFonts w:ascii="Sparkasse Rg" w:hAnsi="Sparkasse Rg" w:cs="Arial"/>
          <w:b w:val="0"/>
          <w:color w:val="000000" w:themeColor="text1"/>
          <w:sz w:val="22"/>
          <w:szCs w:val="22"/>
        </w:rPr>
      </w:pPr>
      <w:r>
        <w:rPr>
          <w:rStyle w:val="Fett"/>
          <w:rFonts w:ascii="Sparkasse Rg" w:hAnsi="Sparkasse Rg" w:cs="Arial"/>
          <w:b w:val="0"/>
          <w:color w:val="000000" w:themeColor="text1"/>
          <w:sz w:val="22"/>
          <w:szCs w:val="22"/>
        </w:rPr>
        <w:t>ISIN: DE000DK0V6A9</w:t>
      </w:r>
    </w:p>
    <w:p w14:paraId="579BE3C3" w14:textId="77777777" w:rsidR="00344EB6" w:rsidRPr="00344EB6" w:rsidRDefault="00344EB6" w:rsidP="00344EB6">
      <w:pPr>
        <w:pStyle w:val="StandardWeb"/>
        <w:pBdr>
          <w:top w:val="single" w:sz="4" w:space="1" w:color="auto"/>
          <w:left w:val="single" w:sz="4" w:space="4" w:color="auto"/>
          <w:bottom w:val="single" w:sz="4" w:space="1" w:color="auto"/>
          <w:right w:val="single" w:sz="4" w:space="4" w:color="auto"/>
        </w:pBdr>
        <w:shd w:val="clear" w:color="auto" w:fill="FFFFFF"/>
        <w:spacing w:after="120"/>
        <w:rPr>
          <w:rStyle w:val="Fett"/>
          <w:rFonts w:ascii="Sparkasse Rg" w:hAnsi="Sparkasse Rg" w:cs="Arial"/>
          <w:color w:val="000000" w:themeColor="text1"/>
          <w:sz w:val="20"/>
          <w:szCs w:val="20"/>
        </w:rPr>
      </w:pPr>
      <w:proofErr w:type="spellStart"/>
      <w:r w:rsidRPr="00344EB6">
        <w:rPr>
          <w:rStyle w:val="Fett"/>
          <w:rFonts w:ascii="Sparkasse Rg" w:hAnsi="Sparkasse Rg" w:cs="Arial"/>
          <w:color w:val="000000" w:themeColor="text1"/>
          <w:sz w:val="20"/>
          <w:szCs w:val="20"/>
        </w:rPr>
        <w:t>Dislcaimer</w:t>
      </w:r>
      <w:proofErr w:type="spellEnd"/>
    </w:p>
    <w:p w14:paraId="262E442D" w14:textId="200AC107" w:rsidR="00344EB6" w:rsidRPr="00344EB6" w:rsidRDefault="00344EB6" w:rsidP="00344EB6">
      <w:pPr>
        <w:pStyle w:val="StandardWeb"/>
        <w:pBdr>
          <w:top w:val="single" w:sz="4" w:space="1" w:color="auto"/>
          <w:left w:val="single" w:sz="4" w:space="4" w:color="auto"/>
          <w:bottom w:val="single" w:sz="4" w:space="1" w:color="auto"/>
          <w:right w:val="single" w:sz="4" w:space="4" w:color="auto"/>
        </w:pBdr>
        <w:shd w:val="clear" w:color="auto" w:fill="FFFFFF"/>
        <w:spacing w:after="120"/>
        <w:rPr>
          <w:rStyle w:val="Fett"/>
          <w:rFonts w:ascii="Sparkasse Rg" w:hAnsi="Sparkasse Rg" w:cs="Arial"/>
          <w:b w:val="0"/>
          <w:color w:val="000000" w:themeColor="text1"/>
          <w:sz w:val="20"/>
          <w:szCs w:val="20"/>
        </w:rPr>
      </w:pPr>
      <w:r w:rsidRPr="00344EB6">
        <w:rPr>
          <w:rStyle w:val="Fett"/>
          <w:rFonts w:ascii="Sparkasse Rg" w:hAnsi="Sparkasse Rg" w:cs="Arial"/>
          <w:b w:val="0"/>
          <w:color w:val="000000" w:themeColor="text1"/>
          <w:sz w:val="20"/>
          <w:szCs w:val="20"/>
        </w:rPr>
        <w:t>Bei dieser Information handelt es sich um Werbematerial. Die enthaltenen Angaben stellen keine Anlageberatung und kein Angebot zu Kauf oder Verkauf, sondern lediglich eine Kurzdarstellung ausgewählter Merkmale des Fonds dar. Diese Information kann eine individuelle Beratung nicht ersetzen und sollte im Zusammenhang mit den gesetzlichen Verkaufsunterlagen eingesetzt werden.</w:t>
      </w:r>
    </w:p>
    <w:p w14:paraId="6EE66863" w14:textId="481C6766" w:rsidR="00344EB6" w:rsidRPr="00344EB6" w:rsidRDefault="00344EB6" w:rsidP="00344EB6">
      <w:pPr>
        <w:pStyle w:val="StandardWeb"/>
        <w:pBdr>
          <w:top w:val="single" w:sz="4" w:space="1" w:color="auto"/>
          <w:left w:val="single" w:sz="4" w:space="4" w:color="auto"/>
          <w:bottom w:val="single" w:sz="4" w:space="1" w:color="auto"/>
          <w:right w:val="single" w:sz="4" w:space="4" w:color="auto"/>
        </w:pBdr>
        <w:shd w:val="clear" w:color="auto" w:fill="FFFFFF"/>
        <w:spacing w:after="120"/>
        <w:rPr>
          <w:rStyle w:val="Fett"/>
          <w:rFonts w:ascii="Sparkasse Rg" w:hAnsi="Sparkasse Rg" w:cs="Arial"/>
          <w:b w:val="0"/>
          <w:color w:val="000000" w:themeColor="text1"/>
          <w:sz w:val="20"/>
          <w:szCs w:val="20"/>
        </w:rPr>
      </w:pPr>
      <w:r w:rsidRPr="00344EB6">
        <w:rPr>
          <w:rStyle w:val="Fett"/>
          <w:rFonts w:ascii="Sparkasse Rg" w:hAnsi="Sparkasse Rg" w:cs="Arial"/>
          <w:b w:val="0"/>
          <w:color w:val="000000" w:themeColor="text1"/>
          <w:sz w:val="20"/>
          <w:szCs w:val="20"/>
        </w:rPr>
        <w:t xml:space="preserve">SSKM Nachhaltigkeit </w:t>
      </w:r>
      <w:proofErr w:type="spellStart"/>
      <w:r w:rsidRPr="00344EB6">
        <w:rPr>
          <w:rStyle w:val="Fett"/>
          <w:rFonts w:ascii="Sparkasse Rg" w:hAnsi="Sparkasse Rg" w:cs="Arial"/>
          <w:b w:val="0"/>
          <w:color w:val="000000" w:themeColor="text1"/>
          <w:sz w:val="20"/>
          <w:szCs w:val="20"/>
        </w:rPr>
        <w:t>Invest</w:t>
      </w:r>
      <w:proofErr w:type="spellEnd"/>
      <w:r w:rsidRPr="00344EB6">
        <w:rPr>
          <w:rStyle w:val="Fett"/>
          <w:rFonts w:ascii="Sparkasse Rg" w:hAnsi="Sparkasse Rg" w:cs="Arial"/>
          <w:b w:val="0"/>
          <w:color w:val="000000" w:themeColor="text1"/>
          <w:sz w:val="20"/>
          <w:szCs w:val="20"/>
        </w:rPr>
        <w:t xml:space="preserve">, ISIN DE000DK0V6A9. Investieren Sie wie die Stadtsparkasse München: Der SSKM Nachhaltigkeit </w:t>
      </w:r>
      <w:proofErr w:type="spellStart"/>
      <w:r w:rsidRPr="00344EB6">
        <w:rPr>
          <w:rStyle w:val="Fett"/>
          <w:rFonts w:ascii="Sparkasse Rg" w:hAnsi="Sparkasse Rg" w:cs="Arial"/>
          <w:b w:val="0"/>
          <w:color w:val="000000" w:themeColor="text1"/>
          <w:sz w:val="20"/>
          <w:szCs w:val="20"/>
        </w:rPr>
        <w:t>Invest</w:t>
      </w:r>
      <w:proofErr w:type="spellEnd"/>
      <w:r w:rsidRPr="00344EB6">
        <w:rPr>
          <w:rStyle w:val="Fett"/>
          <w:rFonts w:ascii="Sparkasse Rg" w:hAnsi="Sparkasse Rg" w:cs="Arial"/>
          <w:b w:val="0"/>
          <w:color w:val="000000" w:themeColor="text1"/>
          <w:sz w:val="20"/>
          <w:szCs w:val="20"/>
        </w:rPr>
        <w:t xml:space="preserve"> bietet eine exklusive Alternative für Münchnerinnen und Münchner. Auch die Stadtsparkasse München investiert über einen Spezialfonds, dessen einzige Anlegerin die Sparkasse ist, in den SSKM Nachhaltigkeit </w:t>
      </w:r>
      <w:proofErr w:type="spellStart"/>
      <w:r w:rsidRPr="00344EB6">
        <w:rPr>
          <w:rStyle w:val="Fett"/>
          <w:rFonts w:ascii="Sparkasse Rg" w:hAnsi="Sparkasse Rg" w:cs="Arial"/>
          <w:b w:val="0"/>
          <w:color w:val="000000" w:themeColor="text1"/>
          <w:sz w:val="20"/>
          <w:szCs w:val="20"/>
        </w:rPr>
        <w:t>Invest</w:t>
      </w:r>
      <w:proofErr w:type="spellEnd"/>
      <w:r w:rsidRPr="00344EB6">
        <w:rPr>
          <w:rStyle w:val="Fett"/>
          <w:rFonts w:ascii="Sparkasse Rg" w:hAnsi="Sparkasse Rg" w:cs="Arial"/>
          <w:b w:val="0"/>
          <w:color w:val="000000" w:themeColor="text1"/>
          <w:sz w:val="20"/>
          <w:szCs w:val="20"/>
        </w:rPr>
        <w:t>. Die Stadtsparkasse München kann ihr Investment reduzieren oder beenden. Dadurch würde das Fondsvolumen sinken und es könnten erhöhte Kosten bei der Umsetzung der Anlagestrategie entstehen, welche die Rendite der Anleger schmälern können.</w:t>
      </w:r>
    </w:p>
    <w:p w14:paraId="055F6BE3" w14:textId="66E03471" w:rsidR="00344EB6" w:rsidRDefault="00344EB6" w:rsidP="00344EB6">
      <w:pPr>
        <w:pStyle w:val="StandardWeb"/>
        <w:pBdr>
          <w:top w:val="single" w:sz="4" w:space="1" w:color="auto"/>
          <w:left w:val="single" w:sz="4" w:space="4" w:color="auto"/>
          <w:bottom w:val="single" w:sz="4" w:space="1" w:color="auto"/>
          <w:right w:val="single" w:sz="4" w:space="4" w:color="auto"/>
        </w:pBdr>
        <w:shd w:val="clear" w:color="auto" w:fill="FFFFFF"/>
        <w:spacing w:after="120"/>
        <w:rPr>
          <w:rStyle w:val="Fett"/>
          <w:rFonts w:ascii="Sparkasse Rg" w:hAnsi="Sparkasse Rg" w:cs="Arial"/>
          <w:b w:val="0"/>
          <w:color w:val="000000" w:themeColor="text1"/>
          <w:sz w:val="20"/>
          <w:szCs w:val="20"/>
        </w:rPr>
      </w:pPr>
      <w:r w:rsidRPr="00344EB6">
        <w:rPr>
          <w:rStyle w:val="Fett"/>
          <w:rFonts w:ascii="Sparkasse Rg" w:hAnsi="Sparkasse Rg" w:cs="Arial"/>
          <w:b w:val="0"/>
          <w:color w:val="000000" w:themeColor="text1"/>
          <w:sz w:val="20"/>
          <w:szCs w:val="20"/>
        </w:rPr>
        <w:t>Allein verbindliche Grundlage für den Anteilserwerb der dargestellten Investmentvermögen sind die jeweils aktuellen Verkaufsunterlagen (Wesentliche Anlegerinformationen, Verkaufsprospekte, Jahres- bzw. Halbjahresberichte). Die Verkaufsunterlagen sind in deutscher Sprache kostenlos in jeder Filiale der Stadtsparkasse München sowie bei der DekaBank Deutsche Girozentrale, 60625 Frankfurt sowie unter www.deka.de erhältlich. Die Stadtsparkasse München erhält für den Vertrieb dieser Produkte Zuwendungen. Stand 01.10.2020</w:t>
      </w:r>
    </w:p>
    <w:p w14:paraId="4248C1F2" w14:textId="77777777" w:rsidR="00344EB6" w:rsidRPr="00344EB6" w:rsidRDefault="00344EB6" w:rsidP="00344EB6">
      <w:pPr>
        <w:pStyle w:val="StandardWeb"/>
        <w:shd w:val="clear" w:color="auto" w:fill="FFFFFF"/>
        <w:spacing w:after="120"/>
        <w:rPr>
          <w:rStyle w:val="Fett"/>
          <w:rFonts w:ascii="Sparkasse Rg" w:hAnsi="Sparkasse Rg" w:cs="Arial"/>
          <w:b w:val="0"/>
          <w:color w:val="000000" w:themeColor="text1"/>
          <w:sz w:val="20"/>
          <w:szCs w:val="20"/>
        </w:rPr>
      </w:pPr>
    </w:p>
    <w:p w14:paraId="05E9C4F6" w14:textId="0CCF560F" w:rsidR="005E1352" w:rsidRPr="005E1352" w:rsidRDefault="005E1352" w:rsidP="00B939EC">
      <w:pPr>
        <w:pBdr>
          <w:top w:val="single" w:sz="4" w:space="1" w:color="auto"/>
          <w:left w:val="single" w:sz="4" w:space="4" w:color="auto"/>
          <w:bottom w:val="single" w:sz="4" w:space="1" w:color="auto"/>
          <w:right w:val="single" w:sz="4" w:space="4" w:color="auto"/>
        </w:pBdr>
        <w:spacing w:after="60" w:line="276" w:lineRule="auto"/>
        <w:rPr>
          <w:b/>
          <w:sz w:val="20"/>
        </w:rPr>
      </w:pPr>
      <w:r w:rsidRPr="005E1352">
        <w:rPr>
          <w:b/>
          <w:sz w:val="20"/>
        </w:rPr>
        <w:t>Die Stadtsparkasse München</w:t>
      </w:r>
    </w:p>
    <w:p w14:paraId="039CF6DA" w14:textId="0727335A"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w:t>
      </w:r>
      <w:r w:rsidR="00A90795">
        <w:rPr>
          <w:sz w:val="20"/>
        </w:rPr>
        <w:lastRenderedPageBreak/>
        <w:t>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467FEC">
      <w:headerReference w:type="default" r:id="rId8"/>
      <w:footerReference w:type="default" r:id="rId9"/>
      <w:footerReference w:type="first" r:id="rId10"/>
      <w:pgSz w:w="11906" w:h="16838"/>
      <w:pgMar w:top="1843" w:right="1416"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charset w:val="00"/>
    <w:family w:val="swiss"/>
    <w:pitch w:val="variable"/>
    <w:sig w:usb0="8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2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2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3B3966FF"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C70CE1">
      <w:rPr>
        <w:color w:val="000000" w:themeColor="text1"/>
        <w:sz w:val="14"/>
        <w:szCs w:val="14"/>
      </w:rPr>
      <w:t>2</w:t>
    </w:r>
    <w:r w:rsidR="00344EB6">
      <w:rPr>
        <w:color w:val="000000" w:themeColor="text1"/>
        <w:sz w:val="14"/>
        <w:szCs w:val="14"/>
      </w:rPr>
      <w:t>8</w:t>
    </w:r>
    <w:r w:rsidR="00384A69">
      <w:rPr>
        <w:color w:val="000000" w:themeColor="text1"/>
        <w:sz w:val="14"/>
        <w:szCs w:val="14"/>
      </w:rPr>
      <w:t>.</w:t>
    </w:r>
    <w:r w:rsidR="00B939EC">
      <w:rPr>
        <w:color w:val="000000" w:themeColor="text1"/>
        <w:sz w:val="14"/>
        <w:szCs w:val="14"/>
      </w:rPr>
      <w:t>10</w:t>
    </w:r>
    <w:r w:rsidR="002D6BB4">
      <w:rPr>
        <w:color w:val="000000" w:themeColor="text1"/>
        <w:sz w:val="14"/>
        <w:szCs w:val="14"/>
      </w:rPr>
      <w:t>.2020</w:t>
    </w:r>
  </w:p>
  <w:p w14:paraId="640E123F" w14:textId="4A5F1693"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E841C0">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E841C0">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0DFD903"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841C0">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2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C"/>
    <w:rsid w:val="000027A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0F73A7"/>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5720D"/>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1232"/>
    <w:rsid w:val="0034338E"/>
    <w:rsid w:val="00344EB6"/>
    <w:rsid w:val="00346ACF"/>
    <w:rsid w:val="00352DA7"/>
    <w:rsid w:val="003530C6"/>
    <w:rsid w:val="003555C8"/>
    <w:rsid w:val="00360138"/>
    <w:rsid w:val="003602C4"/>
    <w:rsid w:val="00365DE4"/>
    <w:rsid w:val="003666C8"/>
    <w:rsid w:val="003717BA"/>
    <w:rsid w:val="00372248"/>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5F03"/>
    <w:rsid w:val="004061A9"/>
    <w:rsid w:val="00411A76"/>
    <w:rsid w:val="00412DEB"/>
    <w:rsid w:val="00413453"/>
    <w:rsid w:val="00413A0E"/>
    <w:rsid w:val="00413E54"/>
    <w:rsid w:val="00420D3D"/>
    <w:rsid w:val="00421D91"/>
    <w:rsid w:val="00422389"/>
    <w:rsid w:val="004259AD"/>
    <w:rsid w:val="00431540"/>
    <w:rsid w:val="00434746"/>
    <w:rsid w:val="00442E5D"/>
    <w:rsid w:val="004435A6"/>
    <w:rsid w:val="00443FC1"/>
    <w:rsid w:val="00444E18"/>
    <w:rsid w:val="00451D8F"/>
    <w:rsid w:val="00455FBB"/>
    <w:rsid w:val="0045645E"/>
    <w:rsid w:val="00460348"/>
    <w:rsid w:val="004610F4"/>
    <w:rsid w:val="00462355"/>
    <w:rsid w:val="00467189"/>
    <w:rsid w:val="00467FEC"/>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1BE2"/>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1352"/>
    <w:rsid w:val="005E3FBC"/>
    <w:rsid w:val="005E415D"/>
    <w:rsid w:val="005F36BF"/>
    <w:rsid w:val="005F5E78"/>
    <w:rsid w:val="00601230"/>
    <w:rsid w:val="006031A6"/>
    <w:rsid w:val="006061B3"/>
    <w:rsid w:val="0062060E"/>
    <w:rsid w:val="006214E0"/>
    <w:rsid w:val="00621502"/>
    <w:rsid w:val="006348B1"/>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19E7"/>
    <w:rsid w:val="006E3045"/>
    <w:rsid w:val="006E7E60"/>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42D10"/>
    <w:rsid w:val="008535FC"/>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2BDE"/>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305"/>
    <w:rsid w:val="00B244FA"/>
    <w:rsid w:val="00B40BCF"/>
    <w:rsid w:val="00B43DF8"/>
    <w:rsid w:val="00B45447"/>
    <w:rsid w:val="00B466D9"/>
    <w:rsid w:val="00B54FBA"/>
    <w:rsid w:val="00B5625D"/>
    <w:rsid w:val="00B642AB"/>
    <w:rsid w:val="00B75E42"/>
    <w:rsid w:val="00B939EC"/>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131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574F4"/>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34E4D"/>
    <w:rsid w:val="00E502A6"/>
    <w:rsid w:val="00E5075B"/>
    <w:rsid w:val="00E50EF0"/>
    <w:rsid w:val="00E6299C"/>
    <w:rsid w:val="00E702FF"/>
    <w:rsid w:val="00E71C71"/>
    <w:rsid w:val="00E74AFA"/>
    <w:rsid w:val="00E77BCC"/>
    <w:rsid w:val="00E77F84"/>
    <w:rsid w:val="00E841C0"/>
    <w:rsid w:val="00E85740"/>
    <w:rsid w:val="00E8599F"/>
    <w:rsid w:val="00E8694C"/>
    <w:rsid w:val="00E96C4D"/>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DDA2-0FAC-472F-8FB4-C34D3565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Joachim Fröhler</cp:lastModifiedBy>
  <cp:revision>2</cp:revision>
  <cp:lastPrinted>2020-10-27T12:57:00Z</cp:lastPrinted>
  <dcterms:created xsi:type="dcterms:W3CDTF">2020-10-28T08:27:00Z</dcterms:created>
  <dcterms:modified xsi:type="dcterms:W3CDTF">2020-10-28T08:27:00Z</dcterms:modified>
</cp:coreProperties>
</file>