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3D" w:rsidRPr="002406CD" w:rsidRDefault="00B2243D" w:rsidP="00B2243D">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53098BCD" wp14:editId="30450CF8">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640F433C" wp14:editId="38933707">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B2243D" w:rsidRPr="002406CD" w:rsidRDefault="00B2243D" w:rsidP="00B2243D">
      <w:pPr>
        <w:rPr>
          <w:b/>
          <w:bCs/>
          <w:color w:val="4472C4" w:themeColor="accent1"/>
          <w:sz w:val="36"/>
          <w:szCs w:val="36"/>
        </w:rPr>
      </w:pPr>
      <w:r w:rsidRPr="002406CD">
        <w:rPr>
          <w:rFonts w:cs="Arial"/>
          <w:b/>
          <w:sz w:val="36"/>
          <w:szCs w:val="36"/>
        </w:rPr>
        <w:t>PRESS RELEASE</w:t>
      </w:r>
      <w:r>
        <w:rPr>
          <w:rFonts w:cs="Arial"/>
          <w:b/>
          <w:sz w:val="36"/>
          <w:szCs w:val="36"/>
        </w:rPr>
        <w:t xml:space="preserve"> (3.1049</w:t>
      </w:r>
      <w:r w:rsidR="00040D8A">
        <w:rPr>
          <w:rFonts w:cs="Arial"/>
          <w:b/>
          <w:sz w:val="36"/>
          <w:szCs w:val="36"/>
        </w:rPr>
        <w:t>C</w:t>
      </w:r>
      <w:r w:rsidRPr="002406CD">
        <w:rPr>
          <w:rFonts w:cs="Arial"/>
          <w:b/>
          <w:sz w:val="36"/>
          <w:szCs w:val="36"/>
        </w:rPr>
        <w:t>)</w:t>
      </w:r>
      <w:r w:rsidRPr="002406CD">
        <w:rPr>
          <w:rFonts w:cs="Arial"/>
          <w:b/>
          <w:sz w:val="44"/>
          <w:szCs w:val="44"/>
        </w:rPr>
        <w:tab/>
      </w:r>
      <w:r w:rsidR="00586E92">
        <w:rPr>
          <w:rFonts w:cs="Arial"/>
          <w:b/>
          <w:sz w:val="44"/>
          <w:szCs w:val="44"/>
        </w:rPr>
        <w:tab/>
      </w:r>
      <w:r w:rsidR="00586E92">
        <w:rPr>
          <w:rFonts w:cs="Arial"/>
          <w:b/>
          <w:sz w:val="44"/>
          <w:szCs w:val="44"/>
        </w:rPr>
        <w:tab/>
      </w:r>
      <w:r w:rsidR="00586E92">
        <w:rPr>
          <w:rFonts w:cs="Arial"/>
          <w:b/>
          <w:sz w:val="44"/>
          <w:szCs w:val="44"/>
        </w:rPr>
        <w:tab/>
        <w:t xml:space="preserve">      </w:t>
      </w:r>
      <w:bookmarkStart w:id="0" w:name="_GoBack"/>
      <w:bookmarkEnd w:id="0"/>
      <w:r>
        <w:rPr>
          <w:rFonts w:cs="Arial"/>
          <w:b/>
          <w:szCs w:val="22"/>
        </w:rPr>
        <w:t>20</w:t>
      </w:r>
      <w:r w:rsidRPr="002406CD">
        <w:rPr>
          <w:rFonts w:cs="Arial"/>
          <w:b/>
          <w:szCs w:val="22"/>
          <w:vertAlign w:val="superscript"/>
        </w:rPr>
        <w:t>th</w:t>
      </w:r>
      <w:r w:rsidRPr="002406CD">
        <w:rPr>
          <w:rFonts w:cs="Arial"/>
          <w:b/>
          <w:szCs w:val="22"/>
        </w:rPr>
        <w:t xml:space="preserve"> November 2018</w:t>
      </w:r>
    </w:p>
    <w:p w:rsidR="00B2243D" w:rsidRPr="0042105D" w:rsidRDefault="00B2243D" w:rsidP="00B2243D">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THOUSANDS OF ROTORK ELE</w:t>
      </w:r>
      <w:r w:rsidR="00556844">
        <w:rPr>
          <w:rFonts w:eastAsia="PMingLiU" w:cs="Times New Roman"/>
          <w:b/>
          <w:bCs/>
          <w:color w:val="262626" w:themeColor="text1" w:themeTint="D9"/>
          <w:spacing w:val="-20"/>
          <w:sz w:val="32"/>
          <w:szCs w:val="32"/>
          <w:lang w:eastAsia="zh-TW" w:bidi="ar-SA"/>
        </w:rPr>
        <w:t>C</w:t>
      </w:r>
      <w:r>
        <w:rPr>
          <w:rFonts w:eastAsia="PMingLiU" w:cs="Times New Roman"/>
          <w:b/>
          <w:bCs/>
          <w:color w:val="262626" w:themeColor="text1" w:themeTint="D9"/>
          <w:spacing w:val="-20"/>
          <w:sz w:val="32"/>
          <w:szCs w:val="32"/>
          <w:lang w:eastAsia="zh-TW" w:bidi="ar-SA"/>
        </w:rPr>
        <w:t>TRIC ACTUATORS INSTALLED AT ZHOUSHAN OIL REFINERY</w:t>
      </w:r>
      <w:r w:rsidRPr="0042105D">
        <w:rPr>
          <w:rFonts w:eastAsia="PMingLiU" w:cs="Times New Roman"/>
          <w:b/>
          <w:bCs/>
          <w:color w:val="262626" w:themeColor="text1" w:themeTint="D9"/>
          <w:spacing w:val="-20"/>
          <w:sz w:val="32"/>
          <w:szCs w:val="32"/>
          <w:lang w:eastAsia="zh-TW" w:bidi="ar-SA"/>
        </w:rPr>
        <w:t xml:space="preserve"> </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More than 2,500 Rotork IQ3 electric actuators have been installed at a Chinese oil refinery and petrochemical complex.</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Zhejiang Petroleum &amp; Chemical Company Ltd, which refines oil and manufactures chemical products, ordered the actuators for the refinery which is in construction on the island of Zhoushan, near Shanghai.</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The actuators operate gate valves, ball valves and butterfly valves to control the flow of crude oil and refined product at the plant.</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Zhejiang Petroleum &amp; Chemical Company Ltd also purchased IB multi-turn bevel gearboxes which provide a torque range up to 8,135 Nm (6,000 lbf.ft) and a thrust range up to 1,320 kN (296,750 lbf.ft).</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Zhejiang Petroleum &amp; Chemical Company Ltd, which also offers oil storage and transportation services, says Rotork’s reputation for quality as well as the reliability of the IQ3 were key in its decision to buy from the business.</w:t>
      </w:r>
    </w:p>
    <w:p w:rsidR="00B2243D" w:rsidRPr="00B2243D" w:rsidRDefault="00B2243D" w:rsidP="00B2243D">
      <w:pPr>
        <w:rPr>
          <w:rFonts w:eastAsia="PMingLiU" w:cs="Times New Roman"/>
          <w:iCs/>
          <w:szCs w:val="22"/>
          <w:lang w:eastAsia="zh-TW" w:bidi="ar-SA"/>
        </w:rPr>
      </w:pPr>
      <w:r w:rsidRPr="00B2243D">
        <w:rPr>
          <w:rFonts w:eastAsia="PMingLiU" w:cs="Times New Roman"/>
          <w:iCs/>
          <w:szCs w:val="22"/>
          <w:lang w:eastAsia="zh-TW" w:bidi="ar-SA"/>
        </w:rPr>
        <w:t>Rotork’s intelligent IQ3 electric multi-turn electric actuator allows the user unprecedented access to a wealth of data to maximise plant efficiency. Available in 1-phase, 3-phase and direct current variants, the IQ3 relays real-time information on an advanced dual stacked display which can be accessed even in the event of a power outage.</w:t>
      </w:r>
    </w:p>
    <w:p w:rsidR="00E80EBF" w:rsidRPr="00E80EBF" w:rsidRDefault="00B2243D" w:rsidP="00B2243D">
      <w:pPr>
        <w:rPr>
          <w:rFonts w:eastAsia="PMingLiU" w:cs="Times New Roman"/>
          <w:iCs/>
          <w:szCs w:val="22"/>
          <w:lang w:eastAsia="zh-TW" w:bidi="ar-SA"/>
        </w:rPr>
      </w:pPr>
      <w:r w:rsidRPr="00B2243D">
        <w:rPr>
          <w:rFonts w:eastAsia="PMingLiU" w:cs="Times New Roman"/>
          <w:iCs/>
          <w:szCs w:val="22"/>
          <w:lang w:eastAsia="zh-TW" w:bidi="ar-SA"/>
        </w:rPr>
        <w:t>When complete the entire Zhoushan plant will feature two refineries capable of producing 400,000 barrels a day and two ethylene plants capable of producing up to 1.4 million tonnes a year.</w:t>
      </w:r>
    </w:p>
    <w:p w:rsidR="00B2243D" w:rsidRPr="002406CD" w:rsidRDefault="00B2243D" w:rsidP="00B2243D">
      <w:pPr>
        <w:rPr>
          <w:rFonts w:eastAsia="PMingLiU" w:cs="Times New Roman"/>
          <w:b/>
          <w:bCs/>
          <w:color w:val="215868"/>
          <w:spacing w:val="-20"/>
          <w:sz w:val="32"/>
          <w:szCs w:val="32"/>
          <w:lang w:eastAsia="zh-TW" w:bidi="ar-SA"/>
        </w:rPr>
      </w:pPr>
    </w:p>
    <w:p w:rsidR="00B2243D" w:rsidRDefault="00B2243D" w:rsidP="00B2243D">
      <w:pPr>
        <w:jc w:val="center"/>
        <w:rPr>
          <w:b/>
          <w:color w:val="262626" w:themeColor="text1" w:themeTint="D9"/>
          <w:sz w:val="24"/>
          <w:szCs w:val="24"/>
        </w:rPr>
      </w:pPr>
      <w:r w:rsidRPr="001A3D5A">
        <w:rPr>
          <w:b/>
          <w:color w:val="262626" w:themeColor="text1" w:themeTint="D9"/>
          <w:sz w:val="24"/>
          <w:szCs w:val="24"/>
        </w:rPr>
        <w:t>END</w:t>
      </w:r>
    </w:p>
    <w:p w:rsidR="00E80EBF" w:rsidRPr="001A3D5A" w:rsidRDefault="00E80EBF" w:rsidP="00E80EBF">
      <w:pPr>
        <w:rPr>
          <w:b/>
          <w:color w:val="262626" w:themeColor="text1" w:themeTint="D9"/>
          <w:sz w:val="24"/>
          <w:szCs w:val="24"/>
        </w:rPr>
      </w:pPr>
      <w:r>
        <w:rPr>
          <w:b/>
          <w:noProof/>
          <w:color w:val="262626" w:themeColor="text1" w:themeTint="D9"/>
          <w:sz w:val="24"/>
          <w:szCs w:val="24"/>
        </w:rPr>
        <w:drawing>
          <wp:inline distT="0" distB="0" distL="0" distR="0" wp14:anchorId="5B109E7C">
            <wp:extent cx="2298414" cy="17240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077" cy="1762027"/>
                    </a:xfrm>
                    <a:prstGeom prst="rect">
                      <a:avLst/>
                    </a:prstGeom>
                    <a:noFill/>
                  </pic:spPr>
                </pic:pic>
              </a:graphicData>
            </a:graphic>
          </wp:inline>
        </w:drawing>
      </w:r>
    </w:p>
    <w:p w:rsidR="00B2243D" w:rsidRDefault="00B2243D" w:rsidP="00B2243D">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lastRenderedPageBreak/>
        <w:t>Photo captions</w:t>
      </w:r>
    </w:p>
    <w:p w:rsidR="00B2243D" w:rsidRPr="00B2243D" w:rsidRDefault="00B2243D" w:rsidP="00B2243D">
      <w:pPr>
        <w:spacing w:after="0" w:line="276" w:lineRule="auto"/>
        <w:rPr>
          <w:rFonts w:eastAsia="PMingLiU" w:cs="Times New Roman"/>
          <w:iCs/>
          <w:szCs w:val="22"/>
          <w:lang w:eastAsia="zh-TW" w:bidi="ar-SA"/>
        </w:rPr>
      </w:pPr>
      <w:r>
        <w:rPr>
          <w:rFonts w:eastAsia="PMingLiU" w:cs="Times New Roman"/>
          <w:iCs/>
          <w:szCs w:val="22"/>
          <w:lang w:eastAsia="zh-TW" w:bidi="ar-SA"/>
        </w:rPr>
        <w:t>More than 2,500 Rotork actuators have been installed at the refinery.</w:t>
      </w:r>
    </w:p>
    <w:p w:rsidR="00B2243D" w:rsidRPr="002406CD" w:rsidRDefault="00B2243D" w:rsidP="00B2243D">
      <w:pPr>
        <w:spacing w:after="0" w:line="276" w:lineRule="auto"/>
        <w:rPr>
          <w:rFonts w:eastAsia="PMingLiU" w:cs="Times New Roman"/>
          <w:b/>
          <w:bCs/>
          <w:iCs/>
          <w:szCs w:val="22"/>
          <w:lang w:eastAsia="zh-TW" w:bidi="ar-SA"/>
        </w:rPr>
      </w:pPr>
    </w:p>
    <w:p w:rsidR="00B2243D" w:rsidRPr="002406CD" w:rsidRDefault="00B2243D" w:rsidP="00B2243D">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B2243D" w:rsidRPr="002406CD" w:rsidRDefault="00B2243D" w:rsidP="00B2243D">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 xml:space="preserve">Sarah Kellett                                                                                                 </w:t>
      </w:r>
      <w:r>
        <w:rPr>
          <w:rFonts w:eastAsia="PMingLiU" w:cs="Times New Roman"/>
          <w:iCs/>
          <w:sz w:val="20"/>
          <w:szCs w:val="20"/>
          <w:lang w:eastAsia="zh-TW" w:bidi="ar-SA"/>
        </w:rPr>
        <w:tab/>
      </w:r>
      <w:r w:rsidRPr="002406CD">
        <w:rPr>
          <w:rFonts w:eastAsia="PMingLiU" w:cs="Times New Roman"/>
          <w:iCs/>
          <w:sz w:val="20"/>
          <w:szCs w:val="20"/>
          <w:lang w:eastAsia="zh-TW" w:bidi="ar-SA"/>
        </w:rPr>
        <w:t>Brassmill Lane</w:t>
      </w:r>
    </w:p>
    <w:p w:rsidR="00B2243D" w:rsidRPr="002406CD" w:rsidRDefault="00B2243D" w:rsidP="00B2243D">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B2243D" w:rsidRPr="002406CD" w:rsidRDefault="00B2243D" w:rsidP="00B2243D">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B2243D" w:rsidRPr="002406CD" w:rsidRDefault="00B2243D" w:rsidP="00B2243D">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 xml:space="preserve">Email: </w:t>
      </w:r>
      <w:hyperlink r:id="rId9" w:history="1">
        <w:r w:rsidRPr="002406CD">
          <w:rPr>
            <w:rStyle w:val="Hyperlink"/>
            <w:rFonts w:eastAsia="PMingLiU" w:cs="Times New Roman"/>
            <w:sz w:val="20"/>
            <w:szCs w:val="20"/>
            <w:lang w:eastAsia="zh-TW" w:bidi="ar-SA"/>
          </w:rPr>
          <w:t>Sarah.Kellett@rotork.com</w:t>
        </w:r>
      </w:hyperlink>
      <w:r w:rsidRPr="002406CD">
        <w:rPr>
          <w:rFonts w:eastAsia="PMingLiU" w:cs="Times New Roman"/>
          <w:iCs/>
          <w:sz w:val="20"/>
          <w:szCs w:val="20"/>
          <w:lang w:eastAsia="zh-TW" w:bidi="ar-SA"/>
        </w:rPr>
        <w:t xml:space="preserve">                                                                  </w:t>
      </w:r>
      <w:r>
        <w:rPr>
          <w:rFonts w:eastAsia="PMingLiU" w:cs="Times New Roman"/>
          <w:iCs/>
          <w:sz w:val="20"/>
          <w:szCs w:val="20"/>
          <w:lang w:eastAsia="zh-TW" w:bidi="ar-SA"/>
        </w:rPr>
        <w:tab/>
      </w:r>
      <w:r w:rsidRPr="002406CD">
        <w:rPr>
          <w:rFonts w:eastAsia="PMingLiU" w:cs="Times New Roman"/>
          <w:iCs/>
          <w:sz w:val="20"/>
          <w:szCs w:val="20"/>
          <w:lang w:eastAsia="zh-TW" w:bidi="ar-SA"/>
        </w:rPr>
        <w:t>UK</w:t>
      </w:r>
    </w:p>
    <w:p w:rsidR="00B2243D" w:rsidRPr="002406CD" w:rsidRDefault="00B2243D" w:rsidP="00B2243D">
      <w:pPr>
        <w:spacing w:after="0" w:line="276" w:lineRule="auto"/>
        <w:rPr>
          <w:rFonts w:eastAsia="PMingLiU" w:cs="Times New Roman"/>
          <w:iCs/>
          <w:szCs w:val="22"/>
          <w:lang w:eastAsia="zh-TW" w:bidi="ar-SA"/>
        </w:rPr>
      </w:pPr>
    </w:p>
    <w:p w:rsidR="00B2243D" w:rsidRPr="002406CD" w:rsidRDefault="00B2243D" w:rsidP="00B2243D">
      <w:pPr>
        <w:spacing w:after="0" w:line="276" w:lineRule="auto"/>
        <w:rPr>
          <w:rFonts w:eastAsia="PMingLiU" w:cs="Times New Roman"/>
          <w:iCs/>
          <w:szCs w:val="22"/>
          <w:lang w:eastAsia="zh-TW" w:bidi="ar-SA"/>
        </w:rPr>
      </w:pPr>
    </w:p>
    <w:p w:rsidR="00B2243D" w:rsidRPr="002406CD" w:rsidRDefault="00B2243D" w:rsidP="00B2243D">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C77B76" w:rsidRDefault="00B2243D" w:rsidP="00B2243D">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C77B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BF" w:rsidRDefault="00E80EBF" w:rsidP="00E80EBF">
      <w:pPr>
        <w:spacing w:after="0" w:line="240" w:lineRule="auto"/>
      </w:pPr>
      <w:r>
        <w:separator/>
      </w:r>
    </w:p>
  </w:endnote>
  <w:endnote w:type="continuationSeparator" w:id="0">
    <w:p w:rsidR="00E80EBF" w:rsidRDefault="00E80EBF" w:rsidP="00E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Frutiger LT 67 Bold Condensed">
    <w:panose1 w:val="00000000000000000000"/>
    <w:charset w:val="00"/>
    <w:family w:val="auto"/>
    <w:notTrueType/>
    <w:pitch w:val="default"/>
    <w:sig w:usb0="00000003" w:usb1="00000000" w:usb2="00000000" w:usb3="00000000" w:csb0="00000001" w:csb1="00000000"/>
  </w:font>
  <w:font w:name="Source Serif 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BF" w:rsidRDefault="00E80EBF" w:rsidP="00E80EBF">
      <w:pPr>
        <w:spacing w:after="0" w:line="240" w:lineRule="auto"/>
      </w:pPr>
      <w:r>
        <w:separator/>
      </w:r>
    </w:p>
  </w:footnote>
  <w:footnote w:type="continuationSeparator" w:id="0">
    <w:p w:rsidR="00E80EBF" w:rsidRDefault="00E80EBF" w:rsidP="00E80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3D"/>
    <w:rsid w:val="00040D8A"/>
    <w:rsid w:val="001F5580"/>
    <w:rsid w:val="00556844"/>
    <w:rsid w:val="00586E92"/>
    <w:rsid w:val="005B4159"/>
    <w:rsid w:val="00933AC3"/>
    <w:rsid w:val="00B2243D"/>
    <w:rsid w:val="00E80EBF"/>
    <w:rsid w:val="00EB219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A1898"/>
  <w15:chartTrackingRefBased/>
  <w15:docId w15:val="{364E2627-DBB7-40EC-BCCC-16FD314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3D"/>
    <w:rPr>
      <w:color w:val="0563C1" w:themeColor="hyperlink"/>
      <w:u w:val="single"/>
    </w:rPr>
  </w:style>
  <w:style w:type="paragraph" w:customStyle="1" w:styleId="sub-headorpullquoteupperPages">
    <w:name w:val="sub-head or pullquote upper (Pages)"/>
    <w:basedOn w:val="Normal"/>
    <w:uiPriority w:val="99"/>
    <w:rsid w:val="00B2243D"/>
    <w:pPr>
      <w:suppressAutoHyphens/>
      <w:autoSpaceDE w:val="0"/>
      <w:autoSpaceDN w:val="0"/>
      <w:adjustRightInd w:val="0"/>
      <w:spacing w:after="113" w:line="288" w:lineRule="auto"/>
      <w:textAlignment w:val="center"/>
    </w:pPr>
    <w:rPr>
      <w:rFonts w:ascii="Frutiger LT 67 Bold Condensed" w:hAnsi="Frutiger LT 67 Bold Condensed" w:cs="Frutiger LT 67 Bold Condensed"/>
      <w:b/>
      <w:bCs/>
      <w:caps/>
      <w:color w:val="FFFFFF"/>
      <w:sz w:val="24"/>
      <w:szCs w:val="24"/>
    </w:rPr>
  </w:style>
  <w:style w:type="paragraph" w:customStyle="1" w:styleId="BodyserifonwhitePages">
    <w:name w:val="Body serif on white (Pages)"/>
    <w:basedOn w:val="Normal"/>
    <w:uiPriority w:val="99"/>
    <w:rsid w:val="00B2243D"/>
    <w:pPr>
      <w:suppressAutoHyphens/>
      <w:autoSpaceDE w:val="0"/>
      <w:autoSpaceDN w:val="0"/>
      <w:adjustRightInd w:val="0"/>
      <w:spacing w:after="142" w:line="312" w:lineRule="auto"/>
      <w:textAlignment w:val="center"/>
    </w:pPr>
    <w:rPr>
      <w:rFonts w:ascii="Source Serif Pro" w:hAnsi="Source Serif Pro" w:cs="Source Serif Pro"/>
      <w:color w:val="000000"/>
      <w:sz w:val="18"/>
      <w:szCs w:val="18"/>
    </w:rPr>
  </w:style>
  <w:style w:type="paragraph" w:styleId="Header">
    <w:name w:val="header"/>
    <w:basedOn w:val="Normal"/>
    <w:link w:val="HeaderChar"/>
    <w:uiPriority w:val="99"/>
    <w:unhideWhenUsed/>
    <w:rsid w:val="00E8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BF"/>
  </w:style>
  <w:style w:type="paragraph" w:styleId="Footer">
    <w:name w:val="footer"/>
    <w:basedOn w:val="Normal"/>
    <w:link w:val="FooterChar"/>
    <w:uiPriority w:val="99"/>
    <w:unhideWhenUsed/>
    <w:rsid w:val="00E8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5</cp:revision>
  <dcterms:created xsi:type="dcterms:W3CDTF">2018-11-20T10:40:00Z</dcterms:created>
  <dcterms:modified xsi:type="dcterms:W3CDTF">2018-12-05T15:07:00Z</dcterms:modified>
</cp:coreProperties>
</file>